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556F8B" w14:textId="77777777" w:rsidR="00306627" w:rsidRPr="00FA73FF" w:rsidRDefault="00306627" w:rsidP="00306627">
      <w:pPr>
        <w:tabs>
          <w:tab w:val="left" w:pos="0"/>
          <w:tab w:val="right" w:pos="9365"/>
        </w:tabs>
        <w:rPr>
          <w:rFonts w:cs="Arial"/>
          <w:b/>
          <w:szCs w:val="20"/>
        </w:rPr>
      </w:pPr>
      <w:r w:rsidRPr="00FA73FF">
        <w:rPr>
          <w:rFonts w:cs="Arial"/>
          <w:b/>
          <w:szCs w:val="20"/>
        </w:rPr>
        <w:t>IN THE HIGH COURT OF JUSTICE</w:t>
      </w:r>
      <w:r w:rsidRPr="00FA73FF">
        <w:rPr>
          <w:rFonts w:cs="Arial"/>
          <w:b/>
          <w:szCs w:val="20"/>
        </w:rPr>
        <w:tab/>
        <w:t xml:space="preserve">Claim No. </w:t>
      </w:r>
      <w:r>
        <w:rPr>
          <w:rFonts w:cs="Arial"/>
          <w:b/>
          <w:szCs w:val="20"/>
        </w:rPr>
        <w:t>PT-2022-000303</w:t>
      </w:r>
    </w:p>
    <w:p w14:paraId="4CA4F6FF"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p>
    <w:p w14:paraId="6FA463C2"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r w:rsidRPr="00FA73FF">
        <w:rPr>
          <w:rFonts w:cs="Arial"/>
          <w:b/>
          <w:color w:val="000000" w:themeColor="text1"/>
          <w:szCs w:val="20"/>
        </w:rPr>
        <w:t>BUSINESS AND PROPERTY COURTS OF ENGLAND AND WALES</w:t>
      </w:r>
    </w:p>
    <w:p w14:paraId="1094027D"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p>
    <w:p w14:paraId="19303660"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r w:rsidRPr="00FA73FF">
        <w:rPr>
          <w:rFonts w:cs="Arial"/>
          <w:b/>
          <w:color w:val="000000" w:themeColor="text1"/>
          <w:szCs w:val="20"/>
        </w:rPr>
        <w:t>CHANCERY DIVISION</w:t>
      </w:r>
    </w:p>
    <w:p w14:paraId="69A2C6DB"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p>
    <w:p w14:paraId="24B3B26D"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r w:rsidRPr="00FA73FF">
        <w:rPr>
          <w:rFonts w:cs="Arial"/>
          <w:b/>
          <w:color w:val="000000" w:themeColor="text1"/>
          <w:szCs w:val="20"/>
        </w:rPr>
        <w:t>PROPERTY TRUSTS AND PROBATE LIST</w:t>
      </w:r>
    </w:p>
    <w:p w14:paraId="1CD0C489" w14:textId="77777777" w:rsidR="00306627" w:rsidRPr="00FA73FF" w:rsidRDefault="00306627" w:rsidP="00306627">
      <w:pPr>
        <w:kinsoku w:val="0"/>
        <w:overflowPunct w:val="0"/>
        <w:spacing w:line="240" w:lineRule="auto"/>
        <w:contextualSpacing/>
        <w:jc w:val="left"/>
        <w:textAlignment w:val="baseline"/>
        <w:rPr>
          <w:rFonts w:cs="Arial"/>
          <w:b/>
          <w:color w:val="000000" w:themeColor="text1"/>
          <w:szCs w:val="20"/>
        </w:rPr>
      </w:pPr>
    </w:p>
    <w:p w14:paraId="10107372" w14:textId="77777777" w:rsidR="00306627" w:rsidRDefault="00306627" w:rsidP="00306627">
      <w:pPr>
        <w:rPr>
          <w:rFonts w:cs="Arial"/>
          <w:b/>
          <w:color w:val="000000" w:themeColor="text1"/>
          <w:szCs w:val="20"/>
        </w:rPr>
      </w:pPr>
      <w:r>
        <w:rPr>
          <w:rFonts w:cs="Arial"/>
          <w:b/>
          <w:color w:val="000000" w:themeColor="text1"/>
          <w:szCs w:val="20"/>
        </w:rPr>
        <w:t>Before [ ]</w:t>
      </w:r>
    </w:p>
    <w:p w14:paraId="62298E51" w14:textId="77777777" w:rsidR="00306627" w:rsidRDefault="00306627" w:rsidP="00306627">
      <w:pPr>
        <w:rPr>
          <w:rFonts w:cs="Arial"/>
          <w:b/>
          <w:color w:val="000000" w:themeColor="text1"/>
          <w:szCs w:val="20"/>
        </w:rPr>
      </w:pPr>
      <w:r>
        <w:rPr>
          <w:rFonts w:cs="Arial"/>
          <w:b/>
          <w:color w:val="000000" w:themeColor="text1"/>
          <w:szCs w:val="20"/>
        </w:rPr>
        <w:t>On [ ]</w:t>
      </w:r>
    </w:p>
    <w:p w14:paraId="6F459237" w14:textId="77777777" w:rsidR="00306627" w:rsidRPr="00FA73FF" w:rsidRDefault="00306627" w:rsidP="00306627">
      <w:pPr>
        <w:rPr>
          <w:rFonts w:cs="Arial"/>
          <w:b/>
          <w:noProof/>
          <w:szCs w:val="20"/>
        </w:rPr>
      </w:pPr>
      <w:r w:rsidRPr="00FA73FF">
        <w:rPr>
          <w:rFonts w:cs="Arial"/>
          <w:b/>
          <w:noProof/>
          <w:szCs w:val="20"/>
        </w:rPr>
        <w:t>B E T W E E N</w:t>
      </w:r>
    </w:p>
    <w:p w14:paraId="3D1096CC" w14:textId="77777777" w:rsidR="00306627" w:rsidRPr="00FA73FF" w:rsidRDefault="00306627" w:rsidP="00306627">
      <w:pPr>
        <w:jc w:val="center"/>
        <w:rPr>
          <w:rFonts w:cs="Arial"/>
          <w:noProof/>
          <w:szCs w:val="20"/>
        </w:rPr>
      </w:pPr>
      <w:r w:rsidRPr="00FA73FF">
        <w:rPr>
          <w:rFonts w:cs="Arial"/>
          <w:b/>
          <w:noProof/>
          <w:szCs w:val="20"/>
        </w:rPr>
        <w:t xml:space="preserve">(1) </w:t>
      </w:r>
      <w:r w:rsidRPr="00FA73FF">
        <w:rPr>
          <w:rFonts w:cs="Arial"/>
          <w:b/>
          <w:noProof/>
          <w:szCs w:val="20"/>
        </w:rPr>
        <w:tab/>
        <w:t>UNITED KINGDOM OIL PIPELINES LIMITED</w:t>
      </w:r>
    </w:p>
    <w:p w14:paraId="4075D917" w14:textId="77777777" w:rsidR="00306627" w:rsidRPr="00FA73FF" w:rsidRDefault="00306627" w:rsidP="00306627">
      <w:pPr>
        <w:jc w:val="center"/>
        <w:rPr>
          <w:rFonts w:cs="Arial"/>
          <w:b/>
          <w:szCs w:val="20"/>
        </w:rPr>
      </w:pPr>
      <w:r w:rsidRPr="00FA73FF">
        <w:rPr>
          <w:rFonts w:cs="Arial"/>
          <w:b/>
          <w:szCs w:val="20"/>
        </w:rPr>
        <w:t xml:space="preserve">(2) </w:t>
      </w:r>
      <w:r>
        <w:rPr>
          <w:rFonts w:cs="Arial"/>
          <w:b/>
          <w:szCs w:val="20"/>
        </w:rPr>
        <w:tab/>
      </w:r>
      <w:r w:rsidRPr="00FA73FF">
        <w:rPr>
          <w:rFonts w:cs="Arial"/>
          <w:b/>
          <w:szCs w:val="20"/>
        </w:rPr>
        <w:t xml:space="preserve">WEST LONDON PIPELINE AND STORAGE LIMITED </w:t>
      </w:r>
    </w:p>
    <w:p w14:paraId="04161E0D" w14:textId="77777777" w:rsidR="00306627" w:rsidRPr="00FA73FF" w:rsidRDefault="00306627" w:rsidP="00306627">
      <w:pPr>
        <w:jc w:val="right"/>
        <w:rPr>
          <w:rFonts w:cs="Arial"/>
          <w:b/>
          <w:szCs w:val="20"/>
        </w:rPr>
      </w:pPr>
      <w:r w:rsidRPr="00FA73FF">
        <w:rPr>
          <w:rFonts w:cs="Arial"/>
          <w:b/>
          <w:szCs w:val="20"/>
        </w:rPr>
        <w:tab/>
      </w:r>
      <w:r w:rsidRPr="00FA73FF">
        <w:rPr>
          <w:rFonts w:cs="Arial"/>
          <w:b/>
          <w:szCs w:val="20"/>
        </w:rPr>
        <w:tab/>
      </w:r>
      <w:r w:rsidRPr="00FA73FF">
        <w:rPr>
          <w:rFonts w:cs="Arial"/>
          <w:b/>
          <w:szCs w:val="20"/>
        </w:rPr>
        <w:tab/>
      </w:r>
      <w:r w:rsidRPr="00FA73FF">
        <w:rPr>
          <w:rFonts w:cs="Arial"/>
          <w:b/>
          <w:szCs w:val="20"/>
        </w:rPr>
        <w:tab/>
        <w:t>Claimant</w:t>
      </w:r>
      <w:r>
        <w:rPr>
          <w:rFonts w:cs="Arial"/>
          <w:b/>
          <w:szCs w:val="20"/>
        </w:rPr>
        <w:t xml:space="preserve">s </w:t>
      </w:r>
      <w:r w:rsidRPr="00FA73FF">
        <w:rPr>
          <w:rFonts w:cs="Arial"/>
          <w:b/>
          <w:szCs w:val="20"/>
        </w:rPr>
        <w:t>/</w:t>
      </w:r>
      <w:r>
        <w:rPr>
          <w:rFonts w:cs="Arial"/>
          <w:b/>
          <w:szCs w:val="20"/>
        </w:rPr>
        <w:t xml:space="preserve"> </w:t>
      </w:r>
      <w:r w:rsidRPr="00FA73FF">
        <w:rPr>
          <w:rFonts w:cs="Arial"/>
          <w:b/>
          <w:szCs w:val="20"/>
        </w:rPr>
        <w:t>Applicant</w:t>
      </w:r>
      <w:r>
        <w:rPr>
          <w:rFonts w:cs="Arial"/>
          <w:b/>
          <w:szCs w:val="20"/>
        </w:rPr>
        <w:t>s</w:t>
      </w:r>
    </w:p>
    <w:p w14:paraId="5F8B9244" w14:textId="77777777" w:rsidR="00306627" w:rsidRPr="00FA73FF" w:rsidRDefault="00306627" w:rsidP="00306627">
      <w:pPr>
        <w:jc w:val="center"/>
        <w:rPr>
          <w:rFonts w:cs="Arial"/>
          <w:b/>
          <w:szCs w:val="20"/>
        </w:rPr>
      </w:pPr>
      <w:r w:rsidRPr="00FA73FF">
        <w:rPr>
          <w:rFonts w:cs="Arial"/>
          <w:b/>
          <w:szCs w:val="20"/>
        </w:rPr>
        <w:t>and</w:t>
      </w:r>
    </w:p>
    <w:p w14:paraId="087727BA" w14:textId="77777777" w:rsidR="00306627" w:rsidRPr="00FA73FF" w:rsidRDefault="00306627" w:rsidP="00306627">
      <w:pPr>
        <w:jc w:val="center"/>
        <w:rPr>
          <w:rFonts w:cs="Arial"/>
          <w:b/>
          <w:szCs w:val="20"/>
        </w:rPr>
      </w:pPr>
    </w:p>
    <w:p w14:paraId="5E3BC90F" w14:textId="77777777" w:rsidR="00306627" w:rsidRPr="007D2B28" w:rsidRDefault="00306627" w:rsidP="00306627">
      <w:pPr>
        <w:pStyle w:val="ListParagraph"/>
        <w:numPr>
          <w:ilvl w:val="0"/>
          <w:numId w:val="3"/>
        </w:numPr>
        <w:spacing w:line="240" w:lineRule="auto"/>
        <w:jc w:val="center"/>
        <w:rPr>
          <w:rFonts w:cs="Arial"/>
          <w:b/>
          <w:noProof/>
          <w:szCs w:val="20"/>
        </w:rPr>
      </w:pPr>
      <w:r w:rsidRPr="007D2B28">
        <w:rPr>
          <w:rFonts w:cs="Arial"/>
          <w:b/>
          <w:noProof/>
          <w:szCs w:val="20"/>
        </w:rPr>
        <w:t>PERSONS UNKNOWN ENTERING OR REMAINING WITHOUT CONSENT</w:t>
      </w:r>
      <w:r>
        <w:rPr>
          <w:rFonts w:cs="Arial"/>
          <w:b/>
          <w:noProof/>
          <w:szCs w:val="20"/>
        </w:rPr>
        <w:t>,</w:t>
      </w:r>
      <w:r w:rsidRPr="007D2B28">
        <w:rPr>
          <w:rFonts w:cs="Arial"/>
          <w:b/>
          <w:noProof/>
          <w:szCs w:val="20"/>
        </w:rPr>
        <w:t xml:space="preserve"> AND IN CONNECTION WITH OR AFFILIATED TO THE EXTINCTION REBELLION CAMPAIGN OR THE JUST STOP OIL CAMPAIGN</w:t>
      </w:r>
      <w:r>
        <w:rPr>
          <w:rFonts w:cs="Arial"/>
          <w:b/>
          <w:noProof/>
          <w:szCs w:val="20"/>
        </w:rPr>
        <w:t>,</w:t>
      </w:r>
      <w:r w:rsidRPr="007D2B28">
        <w:rPr>
          <w:rFonts w:cs="Arial"/>
          <w:b/>
          <w:noProof/>
          <w:szCs w:val="20"/>
        </w:rPr>
        <w:t xml:space="preserve"> ON LAND AND BUILDINGS AT AND COMPRISING PART OF (A) THE </w:t>
      </w:r>
      <w:r w:rsidRPr="007D2B28">
        <w:rPr>
          <w:rFonts w:cs="Arial"/>
          <w:b/>
          <w:szCs w:val="20"/>
        </w:rPr>
        <w:t xml:space="preserve">BUNCEFIELD OIL TERMINAL, HEMEL HEMPSTEAD, HERTFORDSHIRE </w:t>
      </w:r>
      <w:r w:rsidRPr="007D2B28">
        <w:rPr>
          <w:rFonts w:cs="Arial"/>
          <w:b/>
          <w:noProof/>
          <w:szCs w:val="20"/>
        </w:rPr>
        <w:t xml:space="preserve">(SHOWN FOR IDENTIFICATION SHADED RED  ON THE ATTACHED SITE 1 PLAN) (B) </w:t>
      </w:r>
      <w:r w:rsidRPr="007D2B28">
        <w:rPr>
          <w:rFonts w:cs="Arial"/>
          <w:b/>
          <w:caps/>
          <w:szCs w:val="20"/>
        </w:rPr>
        <w:t>THE KINGSBURY OIL TERMINAL, KINGSBURY, WARWICKSHIRE</w:t>
      </w:r>
      <w:r w:rsidRPr="007D2B28">
        <w:rPr>
          <w:rFonts w:cs="Arial"/>
          <w:b/>
          <w:noProof/>
          <w:szCs w:val="20"/>
        </w:rPr>
        <w:t xml:space="preserve"> (SHOWN FOR IDENTIFICATION SHADED RED ON THE ATTACHED SITE 2 PLAN)</w:t>
      </w:r>
      <w:r>
        <w:rPr>
          <w:rFonts w:cs="Arial"/>
          <w:b/>
          <w:noProof/>
          <w:szCs w:val="20"/>
        </w:rPr>
        <w:br/>
      </w:r>
    </w:p>
    <w:p w14:paraId="369D3105" w14:textId="77777777" w:rsidR="00306627" w:rsidRPr="007D2B28" w:rsidRDefault="00306627" w:rsidP="00306627">
      <w:pPr>
        <w:pStyle w:val="ListParagraph"/>
        <w:spacing w:line="240" w:lineRule="auto"/>
        <w:ind w:left="6352"/>
        <w:jc w:val="right"/>
        <w:rPr>
          <w:rFonts w:cs="Arial"/>
          <w:b/>
          <w:noProof/>
          <w:szCs w:val="20"/>
        </w:rPr>
      </w:pPr>
      <w:r>
        <w:rPr>
          <w:rFonts w:cs="Arial"/>
          <w:b/>
          <w:noProof/>
          <w:szCs w:val="20"/>
        </w:rPr>
        <w:t>First Defendants/Respondents</w:t>
      </w:r>
    </w:p>
    <w:p w14:paraId="476E6E39" w14:textId="77777777" w:rsidR="00306627" w:rsidRPr="00F9598B" w:rsidRDefault="00306627" w:rsidP="00306627">
      <w:pPr>
        <w:jc w:val="center"/>
        <w:rPr>
          <w:rFonts w:cs="Arial"/>
          <w:b/>
          <w:caps/>
          <w:szCs w:val="20"/>
          <w:highlight w:val="yellow"/>
        </w:rPr>
      </w:pPr>
      <w:r w:rsidRPr="00F9598B">
        <w:rPr>
          <w:rFonts w:cs="Arial"/>
          <w:b/>
          <w:szCs w:val="20"/>
        </w:rPr>
        <w:t xml:space="preserve">(2) </w:t>
      </w:r>
      <w:r w:rsidRPr="00F9598B">
        <w:rPr>
          <w:rFonts w:cs="Arial"/>
          <w:b/>
          <w:szCs w:val="20"/>
        </w:rPr>
        <w:tab/>
        <w:t xml:space="preserve">PERSONS UNKNOWN </w:t>
      </w:r>
      <w:r w:rsidRPr="00F9598B">
        <w:rPr>
          <w:rFonts w:cs="Arial"/>
          <w:b/>
          <w:noProof/>
          <w:szCs w:val="20"/>
        </w:rPr>
        <w:t>WITHOUT CONSENT</w:t>
      </w:r>
      <w:r>
        <w:rPr>
          <w:rFonts w:cs="Arial"/>
          <w:b/>
          <w:noProof/>
          <w:szCs w:val="20"/>
        </w:rPr>
        <w:t>,</w:t>
      </w:r>
      <w:r w:rsidRPr="00F9598B">
        <w:rPr>
          <w:rFonts w:cs="Arial"/>
          <w:b/>
          <w:noProof/>
          <w:szCs w:val="20"/>
        </w:rPr>
        <w:t xml:space="preserve"> </w:t>
      </w:r>
      <w:r w:rsidRPr="00FA73FF">
        <w:rPr>
          <w:rFonts w:cs="Arial"/>
          <w:b/>
          <w:noProof/>
          <w:szCs w:val="20"/>
        </w:rPr>
        <w:t xml:space="preserve">AND IN CONNECTION WITH </w:t>
      </w:r>
      <w:r>
        <w:rPr>
          <w:rFonts w:cs="Arial"/>
          <w:b/>
          <w:noProof/>
          <w:szCs w:val="20"/>
        </w:rPr>
        <w:t xml:space="preserve">OR AFFILIATED TO </w:t>
      </w:r>
      <w:r w:rsidRPr="00FA73FF">
        <w:rPr>
          <w:rFonts w:cs="Arial"/>
          <w:b/>
          <w:noProof/>
          <w:szCs w:val="20"/>
        </w:rPr>
        <w:t>THE EXTINCTION REBELL</w:t>
      </w:r>
      <w:r w:rsidRPr="00A973C6">
        <w:rPr>
          <w:rFonts w:cs="Arial"/>
          <w:b/>
          <w:noProof/>
          <w:szCs w:val="20"/>
        </w:rPr>
        <w:t>ION CAMPAIGN OR THE JUST STOP OIL CAMPAIGN</w:t>
      </w:r>
      <w:r>
        <w:rPr>
          <w:rFonts w:cs="Arial"/>
          <w:b/>
          <w:noProof/>
          <w:szCs w:val="20"/>
        </w:rPr>
        <w:t>,</w:t>
      </w:r>
      <w:r w:rsidRPr="00A973C6">
        <w:rPr>
          <w:rFonts w:cs="Arial"/>
          <w:b/>
          <w:noProof/>
          <w:szCs w:val="20"/>
        </w:rPr>
        <w:t xml:space="preserve"> </w:t>
      </w:r>
      <w:r>
        <w:rPr>
          <w:rFonts w:cs="Arial"/>
          <w:b/>
          <w:noProof/>
          <w:szCs w:val="20"/>
        </w:rPr>
        <w:t xml:space="preserve">OBSTRUCTING OR INTERFERING </w:t>
      </w:r>
      <w:r w:rsidRPr="00F9598B">
        <w:rPr>
          <w:rFonts w:cs="Arial"/>
          <w:b/>
          <w:szCs w:val="20"/>
        </w:rPr>
        <w:t xml:space="preserve">WITH THE FIRST CLAIMANT'S </w:t>
      </w:r>
      <w:r>
        <w:rPr>
          <w:rFonts w:cs="Arial"/>
          <w:b/>
          <w:szCs w:val="20"/>
        </w:rPr>
        <w:t xml:space="preserve">ACCESS </w:t>
      </w:r>
      <w:r w:rsidRPr="00F9598B">
        <w:rPr>
          <w:rFonts w:cs="Arial"/>
          <w:b/>
          <w:szCs w:val="20"/>
        </w:rPr>
        <w:t>OVER PRIVATE ACCESS ROADS ADJACENT TO (A) THE BUNCEFIELD OIL TERMINAL, HEMEL HEMPSTEAD, HERTFORDSHIRE (SHOWN FOR IDENTIFICATION SHADED BLUE ON THE ATTACHED SITE 1 PLAN) (B)</w:t>
      </w:r>
      <w:r>
        <w:rPr>
          <w:rFonts w:cs="Arial"/>
          <w:b/>
          <w:caps/>
          <w:szCs w:val="20"/>
        </w:rPr>
        <w:t xml:space="preserve"> THE KIN</w:t>
      </w:r>
      <w:r w:rsidRPr="00F9598B">
        <w:rPr>
          <w:rFonts w:cs="Arial"/>
          <w:b/>
          <w:caps/>
          <w:szCs w:val="20"/>
        </w:rPr>
        <w:t xml:space="preserve">GSBURY OIL TERMINAL, KINGSBURY, WARWICKSHIRE </w:t>
      </w:r>
      <w:r w:rsidRPr="00F9598B">
        <w:rPr>
          <w:rFonts w:cs="Arial"/>
          <w:b/>
          <w:szCs w:val="20"/>
        </w:rPr>
        <w:t>(SHOWN FOR IDENTIFICATION SHADED BLUE ON THE ATTACHED SITE 2 PLAN)</w:t>
      </w:r>
    </w:p>
    <w:p w14:paraId="72875FA3" w14:textId="77777777" w:rsidR="00306627" w:rsidRPr="00F9598B" w:rsidRDefault="00306627" w:rsidP="00306627">
      <w:pPr>
        <w:ind w:left="5558"/>
        <w:jc w:val="right"/>
        <w:rPr>
          <w:rFonts w:cs="Arial"/>
          <w:b/>
          <w:szCs w:val="20"/>
        </w:rPr>
      </w:pPr>
      <w:r>
        <w:rPr>
          <w:rFonts w:cs="Arial"/>
          <w:b/>
          <w:szCs w:val="20"/>
        </w:rPr>
        <w:t xml:space="preserve">Second </w:t>
      </w:r>
      <w:r w:rsidRPr="00F9598B">
        <w:rPr>
          <w:rFonts w:cs="Arial"/>
          <w:b/>
          <w:szCs w:val="20"/>
        </w:rPr>
        <w:t>Defendant</w:t>
      </w:r>
      <w:r>
        <w:rPr>
          <w:rFonts w:cs="Arial"/>
          <w:b/>
          <w:szCs w:val="20"/>
        </w:rPr>
        <w:t>s</w:t>
      </w:r>
      <w:r w:rsidRPr="00F9598B">
        <w:rPr>
          <w:rFonts w:cs="Arial"/>
          <w:b/>
          <w:szCs w:val="20"/>
        </w:rPr>
        <w:t>/Respondent</w:t>
      </w:r>
      <w:r>
        <w:rPr>
          <w:rFonts w:cs="Arial"/>
          <w:b/>
          <w:szCs w:val="20"/>
        </w:rPr>
        <w:t>s</w:t>
      </w:r>
    </w:p>
    <w:p w14:paraId="4E6CF5BD" w14:textId="77777777" w:rsidR="00306627" w:rsidRPr="00F9598B" w:rsidRDefault="00306627" w:rsidP="00306627">
      <w:pPr>
        <w:jc w:val="center"/>
        <w:rPr>
          <w:rFonts w:cs="Arial"/>
          <w:b/>
          <w:szCs w:val="20"/>
        </w:rPr>
      </w:pPr>
      <w:r w:rsidRPr="00F9598B">
        <w:rPr>
          <w:rFonts w:cs="Arial"/>
          <w:b/>
          <w:szCs w:val="20"/>
        </w:rPr>
        <w:t>___________________________________________________</w:t>
      </w:r>
    </w:p>
    <w:p w14:paraId="451C2183" w14:textId="77777777" w:rsidR="00306627" w:rsidRDefault="00306627" w:rsidP="00306627">
      <w:pPr>
        <w:jc w:val="center"/>
        <w:rPr>
          <w:rFonts w:cs="Arial"/>
          <w:b/>
          <w:caps/>
          <w:szCs w:val="20"/>
        </w:rPr>
      </w:pPr>
      <w:r w:rsidRPr="00F9598B">
        <w:rPr>
          <w:rFonts w:cs="Arial"/>
          <w:b/>
          <w:caps/>
          <w:szCs w:val="20"/>
        </w:rPr>
        <w:t>ORDER</w:t>
      </w:r>
      <w:r>
        <w:rPr>
          <w:rFonts w:cs="Arial"/>
          <w:b/>
          <w:caps/>
          <w:szCs w:val="20"/>
        </w:rPr>
        <w:t xml:space="preserve"> AGAINST THE FIRST AND SECOND DEFENDANTS </w:t>
      </w:r>
    </w:p>
    <w:p w14:paraId="633E6DDD" w14:textId="77777777" w:rsidR="00306627" w:rsidRPr="00F9598B" w:rsidRDefault="00306627" w:rsidP="00306627">
      <w:pPr>
        <w:jc w:val="center"/>
        <w:rPr>
          <w:rFonts w:cs="Arial"/>
          <w:b/>
          <w:caps/>
          <w:szCs w:val="20"/>
        </w:rPr>
      </w:pPr>
      <w:r>
        <w:rPr>
          <w:rFonts w:cs="Arial"/>
          <w:b/>
          <w:caps/>
          <w:szCs w:val="20"/>
        </w:rPr>
        <w:t>(COLLECTIVELY “THE DEFENDANTS”)</w:t>
      </w:r>
    </w:p>
    <w:p w14:paraId="6D0997DE" w14:textId="77777777" w:rsidR="00306627" w:rsidRPr="00F9598B" w:rsidRDefault="00306627" w:rsidP="00306627">
      <w:pPr>
        <w:spacing w:before="60"/>
        <w:jc w:val="center"/>
        <w:rPr>
          <w:rFonts w:cs="Arial"/>
          <w:b/>
          <w:szCs w:val="20"/>
        </w:rPr>
      </w:pPr>
      <w:r w:rsidRPr="00F9598B">
        <w:rPr>
          <w:rFonts w:cs="Arial"/>
          <w:b/>
          <w:szCs w:val="20"/>
        </w:rPr>
        <w:t>___________________________________________________</w:t>
      </w:r>
    </w:p>
    <w:p w14:paraId="2413FEA9" w14:textId="77777777" w:rsidR="00306627" w:rsidRPr="00F9598B" w:rsidRDefault="00306627" w:rsidP="00306627">
      <w:pPr>
        <w:rPr>
          <w:rFonts w:cs="Arial"/>
          <w:b/>
          <w:bCs/>
          <w:szCs w:val="20"/>
        </w:rPr>
      </w:pPr>
    </w:p>
    <w:p w14:paraId="36F2437A" w14:textId="77777777" w:rsidR="00306627" w:rsidRPr="00F9598B" w:rsidRDefault="00306627" w:rsidP="00306627">
      <w:pPr>
        <w:rPr>
          <w:rFonts w:cs="Arial"/>
          <w:b/>
          <w:bCs/>
          <w:szCs w:val="20"/>
          <w:u w:val="single"/>
          <w:lang w:val="en-US"/>
        </w:rPr>
      </w:pPr>
      <w:r w:rsidRPr="00F9598B">
        <w:rPr>
          <w:rFonts w:cs="Arial"/>
          <w:b/>
          <w:bCs/>
          <w:szCs w:val="20"/>
          <w:u w:val="single"/>
          <w:lang w:val="en-US"/>
        </w:rPr>
        <w:t>RECITALS</w:t>
      </w:r>
    </w:p>
    <w:p w14:paraId="07136109" w14:textId="77777777" w:rsidR="00306627" w:rsidRPr="0035295A" w:rsidRDefault="00306627" w:rsidP="00306627">
      <w:pPr>
        <w:rPr>
          <w:rFonts w:cs="Arial"/>
          <w:szCs w:val="20"/>
        </w:rPr>
      </w:pPr>
      <w:r>
        <w:rPr>
          <w:rFonts w:cs="Arial"/>
          <w:b/>
          <w:bCs/>
          <w:szCs w:val="20"/>
        </w:rPr>
        <w:t>UPON</w:t>
      </w:r>
      <w:r>
        <w:rPr>
          <w:rFonts w:cs="Arial"/>
          <w:szCs w:val="20"/>
        </w:rPr>
        <w:t xml:space="preserve"> the Orders for interim relief granted in this claim by Mr Peter Knox KC (sitting as a Deputy Judge of the Chancery Division), dated 8 April 2022 and 20 April 2022, and Rajah J, dated 20 April 2023 (the “</w:t>
      </w:r>
      <w:r>
        <w:rPr>
          <w:rFonts w:cs="Arial"/>
          <w:b/>
          <w:bCs/>
          <w:szCs w:val="20"/>
        </w:rPr>
        <w:t>Interim Orders</w:t>
      </w:r>
      <w:r>
        <w:rPr>
          <w:rFonts w:cs="Arial"/>
          <w:szCs w:val="20"/>
        </w:rPr>
        <w:t>”)</w:t>
      </w:r>
    </w:p>
    <w:p w14:paraId="0D7E5536" w14:textId="77777777" w:rsidR="00306627" w:rsidRPr="00E57D48" w:rsidRDefault="00306627" w:rsidP="00306627">
      <w:pPr>
        <w:rPr>
          <w:rFonts w:cs="Arial"/>
          <w:szCs w:val="20"/>
        </w:rPr>
      </w:pPr>
      <w:r>
        <w:rPr>
          <w:rFonts w:cs="Arial"/>
          <w:b/>
          <w:bCs/>
          <w:szCs w:val="20"/>
        </w:rPr>
        <w:t>UPON</w:t>
      </w:r>
      <w:r>
        <w:rPr>
          <w:rFonts w:cs="Arial"/>
          <w:szCs w:val="20"/>
        </w:rPr>
        <w:t xml:space="preserve"> the Order of Mr Simon Gleeson (sitting as a Judge of the Chancery Division) granting the Claimants final injunctive relief until 20 October 2028 (the “</w:t>
      </w:r>
      <w:r>
        <w:rPr>
          <w:rFonts w:cs="Arial"/>
          <w:b/>
          <w:bCs/>
          <w:szCs w:val="20"/>
        </w:rPr>
        <w:t>Gleeson Order</w:t>
      </w:r>
      <w:r>
        <w:rPr>
          <w:rFonts w:cs="Arial"/>
          <w:szCs w:val="20"/>
        </w:rPr>
        <w:t>”)</w:t>
      </w:r>
    </w:p>
    <w:p w14:paraId="4297C246" w14:textId="77777777" w:rsidR="00306627" w:rsidRPr="005C246A" w:rsidRDefault="00306627" w:rsidP="00306627">
      <w:pPr>
        <w:rPr>
          <w:rFonts w:cs="Arial"/>
          <w:szCs w:val="20"/>
        </w:rPr>
      </w:pPr>
      <w:r>
        <w:rPr>
          <w:rFonts w:cs="Arial"/>
          <w:b/>
          <w:bCs/>
          <w:szCs w:val="20"/>
        </w:rPr>
        <w:t xml:space="preserve">AND UPON </w:t>
      </w:r>
      <w:r>
        <w:rPr>
          <w:rFonts w:cs="Arial"/>
          <w:szCs w:val="20"/>
        </w:rPr>
        <w:t>a review hearing being listed on [ ] for a review of the Gleeson Order, pursuant to paragraph 12 of the Gleeson Order</w:t>
      </w:r>
    </w:p>
    <w:p w14:paraId="5304C01C" w14:textId="0DC82E06" w:rsidR="00306627" w:rsidRPr="00F9598B" w:rsidRDefault="00306627" w:rsidP="00306627">
      <w:pPr>
        <w:rPr>
          <w:rFonts w:cs="Arial"/>
          <w:szCs w:val="20"/>
        </w:rPr>
      </w:pPr>
      <w:r>
        <w:rPr>
          <w:rFonts w:cs="Arial"/>
          <w:b/>
          <w:bCs/>
          <w:szCs w:val="20"/>
        </w:rPr>
        <w:t xml:space="preserve">AND </w:t>
      </w:r>
      <w:r w:rsidRPr="00F9598B">
        <w:rPr>
          <w:rFonts w:cs="Arial"/>
          <w:b/>
          <w:bCs/>
          <w:szCs w:val="20"/>
        </w:rPr>
        <w:t xml:space="preserve">UPON </w:t>
      </w:r>
      <w:r w:rsidRPr="00F9598B">
        <w:rPr>
          <w:rFonts w:cs="Arial"/>
          <w:szCs w:val="20"/>
        </w:rPr>
        <w:t>the hearing of the Claimants’ Application dated</w:t>
      </w:r>
      <w:r>
        <w:rPr>
          <w:rFonts w:cs="Arial"/>
          <w:szCs w:val="20"/>
        </w:rPr>
        <w:t xml:space="preserve"> [ ] </w:t>
      </w:r>
      <w:r w:rsidR="00FE7A1A">
        <w:rPr>
          <w:rFonts w:cs="Arial"/>
          <w:szCs w:val="20"/>
        </w:rPr>
        <w:t>in relation to service</w:t>
      </w:r>
    </w:p>
    <w:p w14:paraId="784AD35A" w14:textId="77777777" w:rsidR="00306627" w:rsidRDefault="00306627" w:rsidP="00306627">
      <w:pPr>
        <w:rPr>
          <w:rFonts w:cs="Arial"/>
          <w:szCs w:val="20"/>
        </w:rPr>
      </w:pPr>
      <w:r w:rsidRPr="00F9598B">
        <w:rPr>
          <w:rFonts w:cs="Arial"/>
          <w:b/>
          <w:szCs w:val="20"/>
        </w:rPr>
        <w:t xml:space="preserve">AND UPON </w:t>
      </w:r>
      <w:r>
        <w:rPr>
          <w:rFonts w:cs="Arial"/>
          <w:bCs/>
          <w:szCs w:val="20"/>
        </w:rPr>
        <w:t>reading</w:t>
      </w:r>
      <w:r w:rsidRPr="00F9598B">
        <w:rPr>
          <w:rFonts w:cs="Arial"/>
          <w:szCs w:val="20"/>
        </w:rPr>
        <w:t xml:space="preserve"> the </w:t>
      </w:r>
      <w:r>
        <w:rPr>
          <w:rFonts w:cs="Arial"/>
          <w:szCs w:val="20"/>
        </w:rPr>
        <w:t xml:space="preserve">evidence and the Claimants’ skeleton argument </w:t>
      </w:r>
      <w:r w:rsidRPr="00F9598B">
        <w:rPr>
          <w:rFonts w:cs="Arial"/>
          <w:szCs w:val="20"/>
        </w:rPr>
        <w:t xml:space="preserve"> </w:t>
      </w:r>
    </w:p>
    <w:p w14:paraId="699B1416" w14:textId="77777777" w:rsidR="00306627" w:rsidRDefault="00306627" w:rsidP="00306627">
      <w:pPr>
        <w:rPr>
          <w:rFonts w:cs="Arial"/>
          <w:bCs/>
          <w:szCs w:val="20"/>
        </w:rPr>
      </w:pPr>
      <w:r>
        <w:rPr>
          <w:rFonts w:cs="Arial"/>
          <w:b/>
          <w:bCs/>
          <w:szCs w:val="20"/>
        </w:rPr>
        <w:t xml:space="preserve">AND </w:t>
      </w:r>
      <w:r w:rsidRPr="00F9598B">
        <w:rPr>
          <w:rFonts w:cs="Arial"/>
          <w:b/>
          <w:bCs/>
          <w:szCs w:val="20"/>
        </w:rPr>
        <w:t xml:space="preserve">UPON </w:t>
      </w:r>
      <w:r w:rsidRPr="00F9598B">
        <w:rPr>
          <w:rFonts w:cs="Arial"/>
          <w:bCs/>
          <w:szCs w:val="20"/>
        </w:rPr>
        <w:t xml:space="preserve">hearing </w:t>
      </w:r>
      <w:r>
        <w:rPr>
          <w:rFonts w:cs="Arial"/>
          <w:bCs/>
          <w:szCs w:val="20"/>
        </w:rPr>
        <w:t>Myriam Stacey KC and Yaaser Vanderman</w:t>
      </w:r>
      <w:r w:rsidRPr="00F9598B">
        <w:rPr>
          <w:rFonts w:cs="Arial"/>
          <w:bCs/>
          <w:szCs w:val="20"/>
        </w:rPr>
        <w:t xml:space="preserve"> for the Claimants </w:t>
      </w:r>
      <w:r>
        <w:rPr>
          <w:rFonts w:cs="Arial"/>
          <w:bCs/>
          <w:szCs w:val="20"/>
        </w:rPr>
        <w:t>and the Defendants not being represented or appearing</w:t>
      </w:r>
    </w:p>
    <w:p w14:paraId="7D5E7B83" w14:textId="77777777" w:rsidR="00306627" w:rsidRDefault="00306627" w:rsidP="00306627">
      <w:pPr>
        <w:rPr>
          <w:rFonts w:cs="Arial"/>
          <w:bCs/>
          <w:szCs w:val="20"/>
        </w:rPr>
      </w:pPr>
      <w:r>
        <w:rPr>
          <w:rFonts w:cs="Arial"/>
          <w:b/>
          <w:szCs w:val="20"/>
        </w:rPr>
        <w:t xml:space="preserve">AND UPON </w:t>
      </w:r>
      <w:r>
        <w:rPr>
          <w:rFonts w:cs="Arial"/>
          <w:bCs/>
          <w:szCs w:val="20"/>
        </w:rPr>
        <w:t xml:space="preserve">the Court being satisfied that proper and effective service of the Gleeson Order, pursuant to paragraphs 6-8 of the Gleeson Order, and the documents prepared for this hearing, pursuant to paragraphs 9-11 of the Gleeson Order, had been </w:t>
      </w:r>
      <w:proofErr w:type="gramStart"/>
      <w:r>
        <w:rPr>
          <w:rFonts w:cs="Arial"/>
          <w:bCs/>
          <w:szCs w:val="20"/>
        </w:rPr>
        <w:t>effected</w:t>
      </w:r>
      <w:proofErr w:type="gramEnd"/>
      <w:r>
        <w:rPr>
          <w:rFonts w:cs="Arial"/>
          <w:bCs/>
          <w:szCs w:val="20"/>
        </w:rPr>
        <w:t xml:space="preserve"> on the Defendants</w:t>
      </w:r>
    </w:p>
    <w:p w14:paraId="2CB54388" w14:textId="77777777" w:rsidR="00306627" w:rsidRPr="00BF3F99" w:rsidRDefault="00306627" w:rsidP="00306627">
      <w:pPr>
        <w:rPr>
          <w:rFonts w:cs="Arial"/>
          <w:bCs/>
          <w:szCs w:val="20"/>
        </w:rPr>
      </w:pPr>
      <w:r>
        <w:rPr>
          <w:rFonts w:cs="Arial"/>
          <w:b/>
          <w:szCs w:val="20"/>
        </w:rPr>
        <w:t>AND UPON</w:t>
      </w:r>
      <w:r>
        <w:rPr>
          <w:rFonts w:cs="Arial"/>
          <w:bCs/>
          <w:szCs w:val="20"/>
        </w:rPr>
        <w:t xml:space="preserve"> the Court reviewing the Gleeson Order and being satisfied that there had been no material change in circumstances warranting amendments to, or the setting aside of, the relief granted in the Gleeson Order</w:t>
      </w:r>
    </w:p>
    <w:p w14:paraId="40EC8475" w14:textId="77777777" w:rsidR="00306627" w:rsidRPr="00D54B5F" w:rsidRDefault="00306627" w:rsidP="00306627">
      <w:pPr>
        <w:rPr>
          <w:rFonts w:cs="Arial"/>
          <w:bCs/>
          <w:szCs w:val="20"/>
        </w:rPr>
      </w:pPr>
    </w:p>
    <w:p w14:paraId="4CA2645B" w14:textId="77777777" w:rsidR="00306627" w:rsidRDefault="00306627" w:rsidP="00306627">
      <w:pPr>
        <w:outlineLvl w:val="0"/>
        <w:rPr>
          <w:rFonts w:cs="Arial"/>
          <w:b/>
          <w:bCs/>
          <w:szCs w:val="20"/>
        </w:rPr>
      </w:pPr>
      <w:r w:rsidRPr="00F9598B">
        <w:rPr>
          <w:rFonts w:cs="Arial"/>
          <w:b/>
          <w:bCs/>
          <w:szCs w:val="20"/>
        </w:rPr>
        <w:t>IT IS ORDERED THAT</w:t>
      </w:r>
      <w:r>
        <w:rPr>
          <w:rFonts w:cs="Arial"/>
          <w:b/>
          <w:bCs/>
          <w:szCs w:val="20"/>
        </w:rPr>
        <w:t>:</w:t>
      </w:r>
    </w:p>
    <w:p w14:paraId="0CF0C776" w14:textId="77777777" w:rsidR="00306627" w:rsidRDefault="00306627" w:rsidP="00306627">
      <w:pPr>
        <w:pStyle w:val="ListParagraph"/>
        <w:numPr>
          <w:ilvl w:val="0"/>
          <w:numId w:val="4"/>
        </w:numPr>
        <w:ind w:left="567" w:hanging="567"/>
        <w:rPr>
          <w:bCs/>
        </w:rPr>
      </w:pPr>
      <w:r>
        <w:rPr>
          <w:bCs/>
        </w:rPr>
        <w:t>No Order be made as to the continuing effect of the Gleeson Order.</w:t>
      </w:r>
    </w:p>
    <w:p w14:paraId="0C20A986" w14:textId="77777777" w:rsidR="00306627" w:rsidRDefault="00306627" w:rsidP="00306627">
      <w:pPr>
        <w:pStyle w:val="ListParagraph"/>
        <w:ind w:left="567"/>
        <w:rPr>
          <w:bCs/>
        </w:rPr>
      </w:pPr>
    </w:p>
    <w:p w14:paraId="5C14413C" w14:textId="562EE9E0" w:rsidR="00306627" w:rsidRDefault="00FE7A1A" w:rsidP="00306627">
      <w:pPr>
        <w:pStyle w:val="ListParagraph"/>
        <w:numPr>
          <w:ilvl w:val="0"/>
          <w:numId w:val="4"/>
        </w:numPr>
        <w:ind w:left="567" w:hanging="567"/>
        <w:rPr>
          <w:bCs/>
        </w:rPr>
      </w:pPr>
      <w:r>
        <w:rPr>
          <w:bCs/>
        </w:rPr>
        <w:t>Any</w:t>
      </w:r>
      <w:r w:rsidR="00306627">
        <w:rPr>
          <w:bCs/>
        </w:rPr>
        <w:t xml:space="preserve"> requirement in the Interim Orders </w:t>
      </w:r>
      <w:r>
        <w:rPr>
          <w:bCs/>
        </w:rPr>
        <w:t xml:space="preserve">on the Claimants </w:t>
      </w:r>
      <w:r w:rsidR="00306627">
        <w:rPr>
          <w:bCs/>
        </w:rPr>
        <w:t xml:space="preserve">to </w:t>
      </w:r>
      <w:r>
        <w:rPr>
          <w:bCs/>
        </w:rPr>
        <w:t xml:space="preserve">continue to </w:t>
      </w:r>
      <w:r w:rsidR="00306627">
        <w:rPr>
          <w:bCs/>
        </w:rPr>
        <w:t xml:space="preserve">fix copies of documents in </w:t>
      </w:r>
      <w:r w:rsidR="00306627" w:rsidRPr="00721A91">
        <w:rPr>
          <w:bCs/>
        </w:rPr>
        <w:t>clear transparent sealed containers</w:t>
      </w:r>
      <w:r w:rsidR="00306627">
        <w:rPr>
          <w:bCs/>
        </w:rPr>
        <w:t xml:space="preserve">, by way of alternative service, be dispensed with.   </w:t>
      </w:r>
    </w:p>
    <w:p w14:paraId="1017868C" w14:textId="77777777" w:rsidR="00306627" w:rsidRPr="004F73C8" w:rsidRDefault="00306627" w:rsidP="00306627">
      <w:pPr>
        <w:pStyle w:val="ListParagraph"/>
        <w:rPr>
          <w:bCs/>
        </w:rPr>
      </w:pPr>
    </w:p>
    <w:p w14:paraId="719163FA" w14:textId="77777777" w:rsidR="00306627" w:rsidRDefault="00306627" w:rsidP="00306627">
      <w:pPr>
        <w:pStyle w:val="ListParagraph"/>
        <w:numPr>
          <w:ilvl w:val="0"/>
          <w:numId w:val="4"/>
        </w:numPr>
        <w:ind w:left="567" w:hanging="567"/>
        <w:rPr>
          <w:bCs/>
        </w:rPr>
      </w:pPr>
      <w:r>
        <w:rPr>
          <w:bCs/>
        </w:rPr>
        <w:t xml:space="preserve">Paragraph 6(b) of the Gleeson Order be amended such that, prospectively, the Claimants be permitted to affix copies of the Gleeson Order </w:t>
      </w:r>
      <w:r w:rsidRPr="002540D4">
        <w:rPr>
          <w:bCs/>
        </w:rPr>
        <w:t>at a minimum number of 2</w:t>
      </w:r>
      <w:r>
        <w:rPr>
          <w:bCs/>
        </w:rPr>
        <w:t xml:space="preserve"> </w:t>
      </w:r>
      <w:r w:rsidRPr="002540D4">
        <w:rPr>
          <w:bCs/>
        </w:rPr>
        <w:t>prominent locations on the perimeter of each of the Sites</w:t>
      </w:r>
      <w:r>
        <w:rPr>
          <w:bCs/>
        </w:rPr>
        <w:t xml:space="preserve"> whether in clear transparent sealed containers or by any other method.</w:t>
      </w:r>
    </w:p>
    <w:p w14:paraId="71B553B8" w14:textId="77777777" w:rsidR="00306627" w:rsidRPr="00B72AE8" w:rsidRDefault="00306627" w:rsidP="00306627">
      <w:pPr>
        <w:pStyle w:val="ListParagraph"/>
        <w:rPr>
          <w:bCs/>
        </w:rPr>
      </w:pPr>
    </w:p>
    <w:p w14:paraId="5459BB3E" w14:textId="77777777" w:rsidR="00306627" w:rsidRDefault="00306627" w:rsidP="00306627">
      <w:pPr>
        <w:pStyle w:val="ListParagraph"/>
        <w:numPr>
          <w:ilvl w:val="0"/>
          <w:numId w:val="4"/>
        </w:numPr>
        <w:ind w:left="567" w:hanging="567"/>
        <w:rPr>
          <w:bCs/>
        </w:rPr>
      </w:pPr>
      <w:r>
        <w:rPr>
          <w:bCs/>
        </w:rPr>
        <w:t xml:space="preserve">This Order be served pursuant to the steps set out in paragraphs 9-11 of the Gleeson Order. </w:t>
      </w:r>
    </w:p>
    <w:p w14:paraId="11712E0A" w14:textId="77777777" w:rsidR="00306627" w:rsidRDefault="00306627" w:rsidP="00306627">
      <w:pPr>
        <w:pStyle w:val="ListParagraph"/>
      </w:pPr>
    </w:p>
    <w:p w14:paraId="3DFFFA6B" w14:textId="77777777" w:rsidR="00306627" w:rsidRPr="00E71F0D" w:rsidRDefault="00306627" w:rsidP="00306627">
      <w:pPr>
        <w:pStyle w:val="ListParagraph"/>
        <w:numPr>
          <w:ilvl w:val="0"/>
          <w:numId w:val="4"/>
        </w:numPr>
        <w:ind w:left="567" w:hanging="567"/>
        <w:rPr>
          <w:bCs/>
        </w:rPr>
      </w:pPr>
      <w:r>
        <w:t xml:space="preserve">Costs reserved. </w:t>
      </w:r>
    </w:p>
    <w:p w14:paraId="2036AAF9" w14:textId="77777777" w:rsidR="00306627" w:rsidRPr="00F9598B" w:rsidRDefault="00306627" w:rsidP="00306627">
      <w:pPr>
        <w:pStyle w:val="FFWLevel1"/>
        <w:numPr>
          <w:ilvl w:val="0"/>
          <w:numId w:val="0"/>
        </w:numPr>
        <w:ind w:left="794"/>
      </w:pPr>
    </w:p>
    <w:p w14:paraId="6C49CC99" w14:textId="77777777" w:rsidR="00306627" w:rsidRPr="004A08E8" w:rsidRDefault="00306627" w:rsidP="00306627">
      <w:pPr>
        <w:pStyle w:val="FFWLevel1"/>
        <w:numPr>
          <w:ilvl w:val="0"/>
          <w:numId w:val="0"/>
        </w:numPr>
        <w:ind w:left="794" w:hanging="794"/>
        <w:rPr>
          <w:rFonts w:cs="Arial"/>
          <w:b/>
          <w:szCs w:val="20"/>
          <w:u w:val="single"/>
        </w:rPr>
      </w:pPr>
      <w:r w:rsidRPr="004A08E8">
        <w:rPr>
          <w:rFonts w:cs="Arial"/>
          <w:b/>
          <w:szCs w:val="20"/>
          <w:u w:val="single"/>
        </w:rPr>
        <w:t>COMMUNICATIONS WITH THE COURT</w:t>
      </w:r>
    </w:p>
    <w:p w14:paraId="663B07FC" w14:textId="77777777" w:rsidR="00306627" w:rsidRPr="00F9598B" w:rsidRDefault="00306627" w:rsidP="00306627">
      <w:pPr>
        <w:pStyle w:val="FFWLevel1"/>
        <w:numPr>
          <w:ilvl w:val="0"/>
          <w:numId w:val="0"/>
        </w:numPr>
        <w:ind w:left="794" w:hanging="794"/>
        <w:rPr>
          <w:rFonts w:cs="Arial"/>
          <w:szCs w:val="20"/>
        </w:rPr>
      </w:pPr>
      <w:r w:rsidRPr="00F9598B">
        <w:rPr>
          <w:rFonts w:cs="Arial"/>
          <w:szCs w:val="20"/>
        </w:rPr>
        <w:t>All communications about this Order should be sent to:</w:t>
      </w:r>
    </w:p>
    <w:p w14:paraId="01AE38E0" w14:textId="77777777" w:rsidR="00306627" w:rsidRPr="00F9598B" w:rsidRDefault="00306627" w:rsidP="00306627">
      <w:pPr>
        <w:spacing w:before="0" w:line="240" w:lineRule="auto"/>
        <w:ind w:left="720"/>
        <w:rPr>
          <w:rFonts w:cs="Arial"/>
          <w:szCs w:val="20"/>
        </w:rPr>
      </w:pPr>
    </w:p>
    <w:p w14:paraId="13C89330" w14:textId="77777777" w:rsidR="00306627" w:rsidRPr="00F9598B" w:rsidRDefault="00306627" w:rsidP="00306627">
      <w:pPr>
        <w:spacing w:before="0" w:line="240" w:lineRule="auto"/>
        <w:ind w:firstLine="794"/>
        <w:outlineLvl w:val="0"/>
        <w:rPr>
          <w:rFonts w:cs="Arial"/>
          <w:szCs w:val="20"/>
        </w:rPr>
      </w:pPr>
      <w:r w:rsidRPr="00F9598B">
        <w:rPr>
          <w:rFonts w:cs="Arial"/>
          <w:szCs w:val="20"/>
        </w:rPr>
        <w:t>Court Manager</w:t>
      </w:r>
    </w:p>
    <w:p w14:paraId="10C3598E" w14:textId="77777777" w:rsidR="00306627" w:rsidRDefault="00306627" w:rsidP="00306627">
      <w:pPr>
        <w:spacing w:before="0" w:line="240" w:lineRule="auto"/>
        <w:ind w:firstLine="794"/>
        <w:rPr>
          <w:rFonts w:cs="Arial"/>
          <w:szCs w:val="20"/>
        </w:rPr>
      </w:pPr>
      <w:r>
        <w:rPr>
          <w:rFonts w:cs="Arial"/>
          <w:szCs w:val="20"/>
        </w:rPr>
        <w:t>The Business and Property courts of England and Wales</w:t>
      </w:r>
    </w:p>
    <w:p w14:paraId="314F6126" w14:textId="77777777" w:rsidR="00306627" w:rsidRDefault="00306627" w:rsidP="00306627">
      <w:pPr>
        <w:spacing w:before="0" w:line="240" w:lineRule="auto"/>
        <w:ind w:firstLine="794"/>
        <w:rPr>
          <w:rFonts w:cs="Arial"/>
          <w:szCs w:val="20"/>
        </w:rPr>
      </w:pPr>
      <w:r>
        <w:rPr>
          <w:rFonts w:cs="Arial"/>
          <w:szCs w:val="20"/>
        </w:rPr>
        <w:t>7 Rolls Building, Ground Floor/Counter 9</w:t>
      </w:r>
    </w:p>
    <w:p w14:paraId="4D4EA9FF" w14:textId="77777777" w:rsidR="00306627" w:rsidRDefault="00306627" w:rsidP="00306627">
      <w:pPr>
        <w:spacing w:before="0" w:line="240" w:lineRule="auto"/>
        <w:ind w:firstLine="794"/>
        <w:rPr>
          <w:rFonts w:cs="Arial"/>
          <w:szCs w:val="20"/>
        </w:rPr>
      </w:pPr>
      <w:r>
        <w:rPr>
          <w:rFonts w:cs="Arial"/>
          <w:szCs w:val="20"/>
        </w:rPr>
        <w:t>Fetter London</w:t>
      </w:r>
    </w:p>
    <w:p w14:paraId="5DDC8882" w14:textId="77777777" w:rsidR="00306627" w:rsidRPr="00F9598B" w:rsidRDefault="00306627" w:rsidP="00306627">
      <w:pPr>
        <w:spacing w:before="0" w:line="240" w:lineRule="auto"/>
        <w:ind w:firstLine="794"/>
        <w:rPr>
          <w:rFonts w:cs="Arial"/>
          <w:szCs w:val="20"/>
        </w:rPr>
      </w:pPr>
      <w:r>
        <w:rPr>
          <w:rFonts w:cs="Arial"/>
          <w:szCs w:val="20"/>
        </w:rPr>
        <w:t>EC4A 1NL</w:t>
      </w:r>
    </w:p>
    <w:p w14:paraId="706DBA24" w14:textId="77777777" w:rsidR="00306627" w:rsidRPr="00F9598B" w:rsidRDefault="00306627" w:rsidP="00306627">
      <w:pPr>
        <w:ind w:left="794"/>
        <w:rPr>
          <w:rFonts w:cs="Arial"/>
          <w:szCs w:val="20"/>
        </w:rPr>
      </w:pPr>
      <w:r w:rsidRPr="00F9598B">
        <w:rPr>
          <w:rFonts w:cs="Arial"/>
          <w:szCs w:val="20"/>
        </w:rPr>
        <w:t xml:space="preserve">The telephone number is 020 7947 </w:t>
      </w:r>
      <w:r>
        <w:rPr>
          <w:rFonts w:cs="Arial"/>
          <w:szCs w:val="20"/>
        </w:rPr>
        <w:t>6690</w:t>
      </w:r>
      <w:r w:rsidRPr="00F9598B">
        <w:rPr>
          <w:rFonts w:cs="Arial"/>
          <w:szCs w:val="20"/>
        </w:rPr>
        <w:t>. The offices are open weekdays 10.00 a.m. to 4.30 p.m.</w:t>
      </w:r>
    </w:p>
    <w:p w14:paraId="3C8AEBE4" w14:textId="77777777" w:rsidR="00306627" w:rsidRPr="00F9598B" w:rsidRDefault="00306627" w:rsidP="00306627">
      <w:pPr>
        <w:pStyle w:val="FFWLevel1"/>
        <w:numPr>
          <w:ilvl w:val="0"/>
          <w:numId w:val="0"/>
        </w:numPr>
        <w:ind w:left="794" w:hanging="794"/>
        <w:rPr>
          <w:rFonts w:cs="Arial"/>
          <w:szCs w:val="20"/>
        </w:rPr>
      </w:pPr>
      <w:r w:rsidRPr="00F9598B">
        <w:rPr>
          <w:rFonts w:cs="Arial"/>
          <w:szCs w:val="20"/>
        </w:rPr>
        <w:t>Name and address of the Claimants' legal representatives</w:t>
      </w:r>
    </w:p>
    <w:p w14:paraId="38886A90" w14:textId="77777777" w:rsidR="00306627" w:rsidRPr="00F9598B" w:rsidRDefault="00306627" w:rsidP="00306627">
      <w:pPr>
        <w:ind w:firstLine="794"/>
        <w:rPr>
          <w:rFonts w:cs="Arial"/>
          <w:szCs w:val="20"/>
        </w:rPr>
      </w:pPr>
      <w:proofErr w:type="spellStart"/>
      <w:r w:rsidRPr="00F9598B">
        <w:rPr>
          <w:rFonts w:cs="Arial"/>
          <w:szCs w:val="20"/>
        </w:rPr>
        <w:t>Fieldfisher</w:t>
      </w:r>
      <w:proofErr w:type="spellEnd"/>
      <w:r w:rsidRPr="00F9598B">
        <w:rPr>
          <w:rFonts w:cs="Arial"/>
          <w:szCs w:val="20"/>
        </w:rPr>
        <w:t xml:space="preserve"> LLP </w:t>
      </w:r>
    </w:p>
    <w:p w14:paraId="646CDCE5" w14:textId="77777777" w:rsidR="00306627" w:rsidRPr="00F9598B" w:rsidRDefault="00306627" w:rsidP="00306627">
      <w:pPr>
        <w:spacing w:before="0" w:line="240" w:lineRule="auto"/>
        <w:ind w:firstLine="794"/>
        <w:rPr>
          <w:rFonts w:cs="Arial"/>
          <w:szCs w:val="20"/>
        </w:rPr>
      </w:pPr>
      <w:r w:rsidRPr="00F9598B">
        <w:rPr>
          <w:rFonts w:cs="Arial"/>
          <w:szCs w:val="20"/>
        </w:rPr>
        <w:t>Riverbank House</w:t>
      </w:r>
    </w:p>
    <w:p w14:paraId="3F631B14" w14:textId="77777777" w:rsidR="00306627" w:rsidRPr="00F9598B" w:rsidRDefault="00306627" w:rsidP="00306627">
      <w:pPr>
        <w:spacing w:before="0" w:line="240" w:lineRule="auto"/>
        <w:ind w:firstLine="794"/>
        <w:rPr>
          <w:rFonts w:cs="Arial"/>
          <w:szCs w:val="20"/>
        </w:rPr>
      </w:pPr>
      <w:r w:rsidRPr="00F9598B">
        <w:rPr>
          <w:rFonts w:cs="Arial"/>
          <w:szCs w:val="20"/>
        </w:rPr>
        <w:t>2 Swan Lane</w:t>
      </w:r>
    </w:p>
    <w:p w14:paraId="58129898" w14:textId="77777777" w:rsidR="00306627" w:rsidRPr="00F9598B" w:rsidRDefault="00306627" w:rsidP="00306627">
      <w:pPr>
        <w:spacing w:before="0" w:line="240" w:lineRule="auto"/>
        <w:ind w:firstLine="794"/>
        <w:rPr>
          <w:rFonts w:cs="Arial"/>
          <w:szCs w:val="20"/>
        </w:rPr>
      </w:pPr>
      <w:r w:rsidRPr="00F9598B">
        <w:rPr>
          <w:rFonts w:cs="Arial"/>
          <w:szCs w:val="20"/>
        </w:rPr>
        <w:t xml:space="preserve">London </w:t>
      </w:r>
    </w:p>
    <w:p w14:paraId="5C74E040" w14:textId="77777777" w:rsidR="00306627" w:rsidRPr="00F9598B" w:rsidRDefault="00306627" w:rsidP="00306627">
      <w:pPr>
        <w:spacing w:before="0" w:line="240" w:lineRule="auto"/>
        <w:ind w:firstLine="794"/>
        <w:rPr>
          <w:rFonts w:cs="Arial"/>
          <w:szCs w:val="20"/>
        </w:rPr>
      </w:pPr>
      <w:r w:rsidRPr="00F9598B">
        <w:rPr>
          <w:rFonts w:cs="Arial"/>
          <w:szCs w:val="20"/>
        </w:rPr>
        <w:t>EC4R 3TT</w:t>
      </w:r>
    </w:p>
    <w:p w14:paraId="0ACBD9B6" w14:textId="77777777" w:rsidR="00306627" w:rsidRPr="00F9598B" w:rsidRDefault="00306627" w:rsidP="00306627">
      <w:pPr>
        <w:ind w:firstLine="794"/>
        <w:rPr>
          <w:rFonts w:cs="Arial"/>
          <w:szCs w:val="20"/>
        </w:rPr>
      </w:pPr>
      <w:r w:rsidRPr="00F9598B">
        <w:rPr>
          <w:rFonts w:cs="Arial"/>
          <w:szCs w:val="20"/>
        </w:rPr>
        <w:t xml:space="preserve">Telephone: </w:t>
      </w:r>
      <w:r w:rsidRPr="00F9598B">
        <w:rPr>
          <w:rFonts w:cs="Arial"/>
          <w:szCs w:val="20"/>
        </w:rPr>
        <w:tab/>
        <w:t>0</w:t>
      </w:r>
      <w:r>
        <w:rPr>
          <w:rFonts w:cs="Arial"/>
          <w:szCs w:val="20"/>
        </w:rPr>
        <w:t>330 460 7000</w:t>
      </w:r>
    </w:p>
    <w:p w14:paraId="496BC228" w14:textId="77777777" w:rsidR="00306627" w:rsidRPr="00F9598B" w:rsidRDefault="00306627" w:rsidP="00306627">
      <w:pPr>
        <w:ind w:firstLine="794"/>
        <w:rPr>
          <w:rFonts w:cs="Arial"/>
          <w:szCs w:val="20"/>
        </w:rPr>
      </w:pPr>
      <w:r w:rsidRPr="00F9598B">
        <w:rPr>
          <w:rFonts w:cs="Arial"/>
          <w:szCs w:val="20"/>
        </w:rPr>
        <w:t xml:space="preserve">Fax: </w:t>
      </w:r>
      <w:r w:rsidRPr="00F9598B">
        <w:rPr>
          <w:rFonts w:cs="Arial"/>
          <w:szCs w:val="20"/>
        </w:rPr>
        <w:tab/>
      </w:r>
      <w:r w:rsidRPr="00F9598B">
        <w:rPr>
          <w:rFonts w:cs="Arial"/>
          <w:szCs w:val="20"/>
        </w:rPr>
        <w:tab/>
        <w:t>020 7488 0084</w:t>
      </w:r>
    </w:p>
    <w:p w14:paraId="4604445C" w14:textId="77777777" w:rsidR="00306627" w:rsidRDefault="00306627" w:rsidP="00306627">
      <w:pPr>
        <w:ind w:firstLine="794"/>
        <w:rPr>
          <w:rFonts w:cs="Arial"/>
          <w:szCs w:val="20"/>
        </w:rPr>
      </w:pPr>
      <w:r w:rsidRPr="00F9598B">
        <w:rPr>
          <w:rFonts w:cs="Arial"/>
          <w:szCs w:val="20"/>
        </w:rPr>
        <w:t xml:space="preserve">Reference: </w:t>
      </w:r>
      <w:r w:rsidRPr="00F9598B">
        <w:rPr>
          <w:rFonts w:cs="Arial"/>
          <w:szCs w:val="20"/>
        </w:rPr>
        <w:tab/>
      </w:r>
      <w:r>
        <w:rPr>
          <w:rFonts w:cs="Arial"/>
          <w:szCs w:val="20"/>
        </w:rPr>
        <w:t>ADP</w:t>
      </w:r>
      <w:r w:rsidRPr="00F9598B">
        <w:rPr>
          <w:rFonts w:cs="Arial"/>
          <w:szCs w:val="20"/>
        </w:rPr>
        <w:t>/UK01.000162.00301</w:t>
      </w:r>
    </w:p>
    <w:p w14:paraId="2CBF505E" w14:textId="77777777" w:rsidR="00306627" w:rsidRDefault="00306627" w:rsidP="00306627">
      <w:pPr>
        <w:ind w:firstLine="794"/>
        <w:rPr>
          <w:rFonts w:cs="Arial"/>
          <w:szCs w:val="20"/>
        </w:rPr>
      </w:pPr>
    </w:p>
    <w:p w14:paraId="427B02E9" w14:textId="77777777" w:rsidR="00306627" w:rsidRPr="00F9598B" w:rsidRDefault="00306627" w:rsidP="00306627">
      <w:pPr>
        <w:ind w:firstLine="794"/>
        <w:rPr>
          <w:rFonts w:cs="Arial"/>
          <w:szCs w:val="20"/>
        </w:rPr>
      </w:pPr>
    </w:p>
    <w:p w14:paraId="042B798B" w14:textId="77777777" w:rsidR="00306627" w:rsidRPr="00F9598B" w:rsidRDefault="00306627" w:rsidP="00306627">
      <w:pPr>
        <w:rPr>
          <w:rFonts w:cs="Arial"/>
          <w:szCs w:val="20"/>
        </w:rPr>
      </w:pPr>
      <w:r>
        <w:rPr>
          <w:rFonts w:cs="Arial"/>
          <w:szCs w:val="20"/>
        </w:rPr>
        <w:t xml:space="preserve">This Order shall be served by the Claimants on the Defendants. </w:t>
      </w:r>
      <w:r w:rsidRPr="00F9598B">
        <w:rPr>
          <w:rFonts w:cs="Arial"/>
          <w:szCs w:val="20"/>
        </w:rPr>
        <w:t xml:space="preserve">The Court has provided a sealed copy of this Order to the Claimants at: </w:t>
      </w:r>
    </w:p>
    <w:p w14:paraId="12E27542" w14:textId="77777777" w:rsidR="00306627" w:rsidRPr="00F9598B" w:rsidRDefault="00306627" w:rsidP="00306627">
      <w:pPr>
        <w:ind w:firstLine="794"/>
        <w:rPr>
          <w:rFonts w:cs="Arial"/>
          <w:szCs w:val="20"/>
        </w:rPr>
      </w:pPr>
      <w:proofErr w:type="spellStart"/>
      <w:r w:rsidRPr="00F9598B">
        <w:rPr>
          <w:rFonts w:cs="Arial"/>
          <w:szCs w:val="20"/>
        </w:rPr>
        <w:t>Fieldfisher</w:t>
      </w:r>
      <w:proofErr w:type="spellEnd"/>
      <w:r w:rsidRPr="00F9598B">
        <w:rPr>
          <w:rFonts w:cs="Arial"/>
          <w:szCs w:val="20"/>
        </w:rPr>
        <w:t xml:space="preserve"> LLP</w:t>
      </w:r>
    </w:p>
    <w:p w14:paraId="14B91B74" w14:textId="77777777" w:rsidR="00306627" w:rsidRPr="00F9598B" w:rsidRDefault="00306627" w:rsidP="00306627">
      <w:pPr>
        <w:spacing w:before="0" w:line="240" w:lineRule="auto"/>
        <w:ind w:firstLine="794"/>
        <w:rPr>
          <w:rFonts w:cs="Arial"/>
          <w:szCs w:val="20"/>
        </w:rPr>
      </w:pPr>
      <w:r w:rsidRPr="00F9598B">
        <w:rPr>
          <w:rFonts w:cs="Arial"/>
          <w:szCs w:val="20"/>
        </w:rPr>
        <w:t xml:space="preserve">Riverbank House, </w:t>
      </w:r>
    </w:p>
    <w:p w14:paraId="1C5EE6A4" w14:textId="77777777" w:rsidR="00306627" w:rsidRPr="00F9598B" w:rsidRDefault="00306627" w:rsidP="00306627">
      <w:pPr>
        <w:spacing w:before="0" w:line="240" w:lineRule="auto"/>
        <w:ind w:firstLine="794"/>
        <w:rPr>
          <w:rFonts w:cs="Arial"/>
          <w:szCs w:val="20"/>
        </w:rPr>
      </w:pPr>
      <w:r w:rsidRPr="00F9598B">
        <w:rPr>
          <w:rFonts w:cs="Arial"/>
          <w:szCs w:val="20"/>
        </w:rPr>
        <w:t xml:space="preserve">2 Swan Lane, </w:t>
      </w:r>
    </w:p>
    <w:p w14:paraId="7FC2EF93" w14:textId="77777777" w:rsidR="00306627" w:rsidRPr="00F9598B" w:rsidRDefault="00306627" w:rsidP="00306627">
      <w:pPr>
        <w:spacing w:before="0" w:line="240" w:lineRule="auto"/>
        <w:ind w:firstLine="794"/>
        <w:rPr>
          <w:rFonts w:cs="Arial"/>
          <w:szCs w:val="20"/>
        </w:rPr>
      </w:pPr>
      <w:r w:rsidRPr="00F9598B">
        <w:rPr>
          <w:rFonts w:cs="Arial"/>
          <w:szCs w:val="20"/>
        </w:rPr>
        <w:t xml:space="preserve">London </w:t>
      </w:r>
    </w:p>
    <w:p w14:paraId="746DDDF9" w14:textId="77777777" w:rsidR="00306627" w:rsidRPr="00F9598B" w:rsidRDefault="00306627" w:rsidP="00306627">
      <w:pPr>
        <w:spacing w:before="0" w:line="240" w:lineRule="auto"/>
        <w:ind w:firstLine="794"/>
        <w:rPr>
          <w:rFonts w:cs="Arial"/>
          <w:szCs w:val="20"/>
        </w:rPr>
      </w:pPr>
      <w:r w:rsidRPr="00F9598B">
        <w:rPr>
          <w:rFonts w:cs="Arial"/>
          <w:szCs w:val="20"/>
        </w:rPr>
        <w:t>EC4R 3TT</w:t>
      </w:r>
    </w:p>
    <w:p w14:paraId="35E99829" w14:textId="77777777" w:rsidR="00306627" w:rsidRDefault="00306627" w:rsidP="00306627">
      <w:pPr>
        <w:ind w:firstLine="794"/>
        <w:rPr>
          <w:rFonts w:cs="Arial"/>
          <w:szCs w:val="20"/>
        </w:rPr>
      </w:pPr>
      <w:r w:rsidRPr="00F9598B">
        <w:rPr>
          <w:rFonts w:cs="Arial"/>
          <w:szCs w:val="20"/>
        </w:rPr>
        <w:t xml:space="preserve">Reference: </w:t>
      </w:r>
      <w:r>
        <w:rPr>
          <w:rFonts w:cs="Arial"/>
          <w:szCs w:val="20"/>
        </w:rPr>
        <w:t>ADP</w:t>
      </w:r>
      <w:r w:rsidRPr="00F9598B">
        <w:rPr>
          <w:rFonts w:cs="Arial"/>
          <w:szCs w:val="20"/>
        </w:rPr>
        <w:t>/000162</w:t>
      </w:r>
    </w:p>
    <w:p w14:paraId="4A45FA8E" w14:textId="77777777" w:rsidR="007D37CB" w:rsidRDefault="007D37CB"/>
    <w:sectPr w:rsidR="007D37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B24EE5"/>
    <w:multiLevelType w:val="hybridMultilevel"/>
    <w:tmpl w:val="477EFA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B1131F"/>
    <w:multiLevelType w:val="multilevel"/>
    <w:tmpl w:val="02FA8398"/>
    <w:styleLink w:val="NumbListLegal"/>
    <w:lvl w:ilvl="0">
      <w:start w:val="1"/>
      <w:numFmt w:val="decimal"/>
      <w:pStyle w:val="FFWLevel1"/>
      <w:lvlText w:val="%1."/>
      <w:lvlJc w:val="left"/>
      <w:pPr>
        <w:tabs>
          <w:tab w:val="num" w:pos="794"/>
        </w:tabs>
        <w:ind w:left="794" w:hanging="794"/>
      </w:pPr>
      <w:rPr>
        <w:rFonts w:hint="default"/>
      </w:rPr>
    </w:lvl>
    <w:lvl w:ilvl="1">
      <w:start w:val="1"/>
      <w:numFmt w:val="decimal"/>
      <w:pStyle w:val="FFWLevel2"/>
      <w:lvlText w:val="%1.%2"/>
      <w:lvlJc w:val="left"/>
      <w:pPr>
        <w:tabs>
          <w:tab w:val="num" w:pos="794"/>
        </w:tabs>
        <w:ind w:left="794" w:hanging="794"/>
      </w:pPr>
      <w:rPr>
        <w:rFonts w:hint="default"/>
      </w:rPr>
    </w:lvl>
    <w:lvl w:ilvl="2">
      <w:start w:val="1"/>
      <w:numFmt w:val="decimal"/>
      <w:pStyle w:val="FFWLevel3"/>
      <w:lvlText w:val="%1.%2.%3"/>
      <w:lvlJc w:val="left"/>
      <w:pPr>
        <w:tabs>
          <w:tab w:val="num" w:pos="794"/>
        </w:tabs>
        <w:ind w:left="794" w:hanging="794"/>
      </w:pPr>
      <w:rPr>
        <w:rFonts w:hint="default"/>
      </w:rPr>
    </w:lvl>
    <w:lvl w:ilvl="3">
      <w:start w:val="1"/>
      <w:numFmt w:val="lowerLetter"/>
      <w:pStyle w:val="FFWLevel4"/>
      <w:lvlText w:val="(%4)"/>
      <w:lvlJc w:val="left"/>
      <w:pPr>
        <w:tabs>
          <w:tab w:val="num" w:pos="1588"/>
        </w:tabs>
        <w:ind w:left="1588" w:hanging="794"/>
      </w:pPr>
      <w:rPr>
        <w:rFonts w:hint="default"/>
      </w:rPr>
    </w:lvl>
    <w:lvl w:ilvl="4">
      <w:start w:val="1"/>
      <w:numFmt w:val="lowerRoman"/>
      <w:pStyle w:val="FFWLevel5"/>
      <w:lvlText w:val="(%5)"/>
      <w:lvlJc w:val="left"/>
      <w:pPr>
        <w:tabs>
          <w:tab w:val="num" w:pos="2381"/>
        </w:tabs>
        <w:ind w:left="2381" w:hanging="793"/>
      </w:pPr>
      <w:rPr>
        <w:rFonts w:hint="default"/>
      </w:rPr>
    </w:lvl>
    <w:lvl w:ilvl="5">
      <w:start w:val="1"/>
      <w:numFmt w:val="upperLetter"/>
      <w:pStyle w:val="FFWLevel6"/>
      <w:lvlText w:val="(%6)"/>
      <w:lvlJc w:val="left"/>
      <w:pPr>
        <w:tabs>
          <w:tab w:val="num" w:pos="3175"/>
        </w:tabs>
        <w:ind w:left="3175" w:hanging="794"/>
      </w:pPr>
      <w:rPr>
        <w:rFonts w:hint="default"/>
      </w:rPr>
    </w:lvl>
    <w:lvl w:ilvl="6">
      <w:start w:val="1"/>
      <w:numFmt w:val="none"/>
      <w:suff w:val="nothing"/>
      <w:lvlText w:val=""/>
      <w:lvlJc w:val="left"/>
      <w:pPr>
        <w:ind w:left="3175" w:firstLine="0"/>
      </w:pPr>
      <w:rPr>
        <w:rFonts w:hint="default"/>
      </w:rPr>
    </w:lvl>
    <w:lvl w:ilvl="7">
      <w:start w:val="1"/>
      <w:numFmt w:val="none"/>
      <w:suff w:val="nothing"/>
      <w:lvlText w:val=""/>
      <w:lvlJc w:val="left"/>
      <w:pPr>
        <w:ind w:left="3175" w:firstLine="0"/>
      </w:pPr>
      <w:rPr>
        <w:rFonts w:hint="default"/>
      </w:rPr>
    </w:lvl>
    <w:lvl w:ilvl="8">
      <w:start w:val="1"/>
      <w:numFmt w:val="none"/>
      <w:suff w:val="nothing"/>
      <w:lvlText w:val=""/>
      <w:lvlJc w:val="left"/>
      <w:pPr>
        <w:ind w:left="3175" w:firstLine="0"/>
      </w:pPr>
      <w:rPr>
        <w:rFonts w:hint="default"/>
      </w:rPr>
    </w:lvl>
  </w:abstractNum>
  <w:abstractNum w:abstractNumId="2" w15:restartNumberingAfterBreak="0">
    <w:nsid w:val="68E96DCA"/>
    <w:multiLevelType w:val="hybridMultilevel"/>
    <w:tmpl w:val="C84A75EE"/>
    <w:lvl w:ilvl="0" w:tplc="826E377A">
      <w:start w:val="1"/>
      <w:numFmt w:val="decimal"/>
      <w:lvlText w:val="(%1)"/>
      <w:lvlJc w:val="left"/>
      <w:pPr>
        <w:ind w:left="1152" w:hanging="79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DCC5E88"/>
    <w:multiLevelType w:val="multilevel"/>
    <w:tmpl w:val="02FA8398"/>
    <w:numStyleLink w:val="NumbListLegal"/>
  </w:abstractNum>
  <w:num w:numId="1" w16cid:durableId="1071780430">
    <w:abstractNumId w:val="1"/>
  </w:num>
  <w:num w:numId="2" w16cid:durableId="1994672665">
    <w:abstractNumId w:val="3"/>
  </w:num>
  <w:num w:numId="3" w16cid:durableId="2012874930">
    <w:abstractNumId w:val="2"/>
  </w:num>
  <w:num w:numId="4" w16cid:durableId="11871370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627"/>
    <w:rsid w:val="00306627"/>
    <w:rsid w:val="004034FE"/>
    <w:rsid w:val="006D7405"/>
    <w:rsid w:val="006F0D10"/>
    <w:rsid w:val="007D37CB"/>
    <w:rsid w:val="008625D6"/>
    <w:rsid w:val="00B07B87"/>
    <w:rsid w:val="00D90D95"/>
    <w:rsid w:val="00DD2FA0"/>
    <w:rsid w:val="00F9498D"/>
    <w:rsid w:val="00FE7A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7E1D6"/>
  <w15:chartTrackingRefBased/>
  <w15:docId w15:val="{A3E54881-FA83-4146-AEB2-22DEA52B7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6627"/>
    <w:pPr>
      <w:spacing w:before="240" w:after="0" w:line="260" w:lineRule="atLeast"/>
      <w:jc w:val="both"/>
    </w:pPr>
    <w:rPr>
      <w:rFonts w:ascii="Arial" w:hAnsi="Arial"/>
      <w:kern w:val="0"/>
      <w:sz w:val="20"/>
      <w:lang w:val="en-GB"/>
      <w14:ligatures w14:val="none"/>
    </w:rPr>
  </w:style>
  <w:style w:type="paragraph" w:styleId="Heading1">
    <w:name w:val="heading 1"/>
    <w:basedOn w:val="Normal"/>
    <w:next w:val="Normal"/>
    <w:link w:val="Heading1Char"/>
    <w:uiPriority w:val="9"/>
    <w:qFormat/>
    <w:rsid w:val="0030662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0662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0662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0662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0662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0662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0662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0662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0662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662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0662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0662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0662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0662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0662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0662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0662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06627"/>
    <w:rPr>
      <w:rFonts w:eastAsiaTheme="majorEastAsia" w:cstheme="majorBidi"/>
      <w:color w:val="272727" w:themeColor="text1" w:themeTint="D8"/>
    </w:rPr>
  </w:style>
  <w:style w:type="paragraph" w:styleId="Title">
    <w:name w:val="Title"/>
    <w:basedOn w:val="Normal"/>
    <w:next w:val="Normal"/>
    <w:link w:val="TitleChar"/>
    <w:uiPriority w:val="10"/>
    <w:qFormat/>
    <w:rsid w:val="003066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0662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0662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0662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06627"/>
    <w:pPr>
      <w:spacing w:before="160"/>
      <w:jc w:val="center"/>
    </w:pPr>
    <w:rPr>
      <w:i/>
      <w:iCs/>
      <w:color w:val="404040" w:themeColor="text1" w:themeTint="BF"/>
    </w:rPr>
  </w:style>
  <w:style w:type="character" w:customStyle="1" w:styleId="QuoteChar">
    <w:name w:val="Quote Char"/>
    <w:basedOn w:val="DefaultParagraphFont"/>
    <w:link w:val="Quote"/>
    <w:uiPriority w:val="29"/>
    <w:rsid w:val="00306627"/>
    <w:rPr>
      <w:i/>
      <w:iCs/>
      <w:color w:val="404040" w:themeColor="text1" w:themeTint="BF"/>
    </w:rPr>
  </w:style>
  <w:style w:type="paragraph" w:styleId="ListParagraph">
    <w:name w:val="List Paragraph"/>
    <w:basedOn w:val="Normal"/>
    <w:uiPriority w:val="34"/>
    <w:qFormat/>
    <w:rsid w:val="00306627"/>
    <w:pPr>
      <w:ind w:left="720"/>
      <w:contextualSpacing/>
    </w:pPr>
  </w:style>
  <w:style w:type="character" w:styleId="IntenseEmphasis">
    <w:name w:val="Intense Emphasis"/>
    <w:basedOn w:val="DefaultParagraphFont"/>
    <w:uiPriority w:val="21"/>
    <w:qFormat/>
    <w:rsid w:val="00306627"/>
    <w:rPr>
      <w:i/>
      <w:iCs/>
      <w:color w:val="0F4761" w:themeColor="accent1" w:themeShade="BF"/>
    </w:rPr>
  </w:style>
  <w:style w:type="paragraph" w:styleId="IntenseQuote">
    <w:name w:val="Intense Quote"/>
    <w:basedOn w:val="Normal"/>
    <w:next w:val="Normal"/>
    <w:link w:val="IntenseQuoteChar"/>
    <w:uiPriority w:val="30"/>
    <w:qFormat/>
    <w:rsid w:val="0030662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06627"/>
    <w:rPr>
      <w:i/>
      <w:iCs/>
      <w:color w:val="0F4761" w:themeColor="accent1" w:themeShade="BF"/>
    </w:rPr>
  </w:style>
  <w:style w:type="character" w:styleId="IntenseReference">
    <w:name w:val="Intense Reference"/>
    <w:basedOn w:val="DefaultParagraphFont"/>
    <w:uiPriority w:val="32"/>
    <w:qFormat/>
    <w:rsid w:val="00306627"/>
    <w:rPr>
      <w:b/>
      <w:bCs/>
      <w:smallCaps/>
      <w:color w:val="0F4761" w:themeColor="accent1" w:themeShade="BF"/>
      <w:spacing w:val="5"/>
    </w:rPr>
  </w:style>
  <w:style w:type="paragraph" w:customStyle="1" w:styleId="FFWLevel1">
    <w:name w:val="FFW Level 1"/>
    <w:basedOn w:val="Normal"/>
    <w:uiPriority w:val="4"/>
    <w:qFormat/>
    <w:rsid w:val="00306627"/>
    <w:pPr>
      <w:numPr>
        <w:numId w:val="2"/>
      </w:numPr>
      <w:outlineLvl w:val="0"/>
    </w:pPr>
  </w:style>
  <w:style w:type="paragraph" w:customStyle="1" w:styleId="FFWLevel2">
    <w:name w:val="FFW Level 2"/>
    <w:basedOn w:val="Normal"/>
    <w:uiPriority w:val="4"/>
    <w:qFormat/>
    <w:rsid w:val="00306627"/>
    <w:pPr>
      <w:numPr>
        <w:ilvl w:val="1"/>
        <w:numId w:val="2"/>
      </w:numPr>
      <w:outlineLvl w:val="1"/>
    </w:pPr>
  </w:style>
  <w:style w:type="paragraph" w:customStyle="1" w:styleId="FFWLevel3">
    <w:name w:val="FFW Level 3"/>
    <w:basedOn w:val="Normal"/>
    <w:uiPriority w:val="4"/>
    <w:qFormat/>
    <w:rsid w:val="00306627"/>
    <w:pPr>
      <w:numPr>
        <w:ilvl w:val="2"/>
        <w:numId w:val="2"/>
      </w:numPr>
      <w:outlineLvl w:val="2"/>
    </w:pPr>
  </w:style>
  <w:style w:type="paragraph" w:customStyle="1" w:styleId="FFWLevel4">
    <w:name w:val="FFW Level 4"/>
    <w:basedOn w:val="Normal"/>
    <w:uiPriority w:val="5"/>
    <w:qFormat/>
    <w:rsid w:val="00306627"/>
    <w:pPr>
      <w:numPr>
        <w:ilvl w:val="3"/>
        <w:numId w:val="2"/>
      </w:numPr>
      <w:outlineLvl w:val="3"/>
    </w:pPr>
  </w:style>
  <w:style w:type="paragraph" w:customStyle="1" w:styleId="FFWLevel5">
    <w:name w:val="FFW Level 5"/>
    <w:basedOn w:val="Normal"/>
    <w:uiPriority w:val="5"/>
    <w:qFormat/>
    <w:rsid w:val="00306627"/>
    <w:pPr>
      <w:numPr>
        <w:ilvl w:val="4"/>
        <w:numId w:val="2"/>
      </w:numPr>
      <w:outlineLvl w:val="4"/>
    </w:pPr>
  </w:style>
  <w:style w:type="paragraph" w:customStyle="1" w:styleId="FFWLevel6">
    <w:name w:val="FFW Level 6"/>
    <w:basedOn w:val="Normal"/>
    <w:uiPriority w:val="5"/>
    <w:qFormat/>
    <w:rsid w:val="00306627"/>
    <w:pPr>
      <w:numPr>
        <w:ilvl w:val="5"/>
        <w:numId w:val="2"/>
      </w:numPr>
      <w:outlineLvl w:val="5"/>
    </w:pPr>
  </w:style>
  <w:style w:type="numbering" w:customStyle="1" w:styleId="NumbListLegal">
    <w:name w:val="NumbList Legal"/>
    <w:uiPriority w:val="99"/>
    <w:rsid w:val="00306627"/>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631</Words>
  <Characters>3597</Characters>
  <Application>Microsoft Office Word</Application>
  <DocSecurity>0</DocSecurity>
  <Lines>29</Lines>
  <Paragraphs>8</Paragraphs>
  <ScaleCrop>false</ScaleCrop>
  <Company/>
  <LinksUpToDate>false</LinksUpToDate>
  <CharactersWithSpaces>4220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Yaaser Vanderman</dc:creator>
  <cp:keywords/>
  <dc:description/>
  <cp:lastModifiedBy>Yaaser Vanderman</cp:lastModifiedBy>
  <cp:revision>2</cp:revision>
  <dcterms:created xsi:type="dcterms:W3CDTF">2024-10-11T15:54:00Z</dcterms:created>
  <dcterms:modified xsi:type="dcterms:W3CDTF">2024-10-11T15:54:00Z</dcterms:modified>
</cp:coreProperties>
</file>