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8052" w14:textId="77777777" w:rsidR="00BB57FF" w:rsidRPr="00083184" w:rsidRDefault="001474D2" w:rsidP="00D84B60">
      <w:pPr>
        <w:tabs>
          <w:tab w:val="left" w:pos="5881"/>
        </w:tabs>
        <w:spacing w:before="61" w:line="276" w:lineRule="auto"/>
        <w:ind w:left="120" w:right="675"/>
        <w:rPr>
          <w:b/>
          <w:sz w:val="24"/>
          <w:u w:val="single"/>
        </w:rPr>
      </w:pPr>
      <w:r w:rsidRPr="00083184">
        <w:rPr>
          <w:b/>
          <w:sz w:val="24"/>
          <w:u w:val="single"/>
        </w:rPr>
        <w:t>IN THE HIGH COURT OF JUSTICE</w:t>
      </w:r>
      <w:r w:rsidRPr="00083184">
        <w:rPr>
          <w:b/>
          <w:sz w:val="24"/>
        </w:rPr>
        <w:tab/>
      </w:r>
      <w:r w:rsidRPr="00083184">
        <w:rPr>
          <w:b/>
          <w:sz w:val="24"/>
          <w:u w:val="single"/>
        </w:rPr>
        <w:t>Claim</w:t>
      </w:r>
      <w:r w:rsidRPr="00083184">
        <w:rPr>
          <w:b/>
          <w:spacing w:val="-15"/>
          <w:sz w:val="24"/>
          <w:u w:val="single"/>
        </w:rPr>
        <w:t xml:space="preserve"> </w:t>
      </w:r>
      <w:r w:rsidRPr="00083184">
        <w:rPr>
          <w:b/>
          <w:sz w:val="24"/>
          <w:u w:val="single"/>
        </w:rPr>
        <w:t>No</w:t>
      </w:r>
      <w:r w:rsidRPr="00083184">
        <w:rPr>
          <w:b/>
          <w:spacing w:val="-15"/>
          <w:sz w:val="24"/>
          <w:u w:val="single"/>
        </w:rPr>
        <w:t xml:space="preserve"> </w:t>
      </w:r>
      <w:r w:rsidRPr="00083184">
        <w:rPr>
          <w:b/>
          <w:sz w:val="24"/>
          <w:u w:val="single"/>
        </w:rPr>
        <w:t>PT-2002-000303</w:t>
      </w:r>
      <w:r w:rsidRPr="00083184">
        <w:rPr>
          <w:b/>
          <w:sz w:val="24"/>
        </w:rPr>
        <w:t xml:space="preserve"> </w:t>
      </w:r>
      <w:r w:rsidRPr="00083184">
        <w:rPr>
          <w:b/>
          <w:sz w:val="24"/>
          <w:u w:val="single"/>
        </w:rPr>
        <w:t>BUSINESS AND PROPERTY COURTS OF ENGLAND AND WALES CHANCERY DIVISION</w:t>
      </w:r>
    </w:p>
    <w:p w14:paraId="1C2A7DEE" w14:textId="77777777" w:rsidR="00D84B60" w:rsidRPr="00083184" w:rsidRDefault="00D84B60" w:rsidP="00D84B60">
      <w:pPr>
        <w:spacing w:line="276" w:lineRule="auto"/>
        <w:ind w:left="120"/>
        <w:rPr>
          <w:b/>
          <w:spacing w:val="-4"/>
          <w:sz w:val="24"/>
          <w:u w:val="single"/>
        </w:rPr>
      </w:pPr>
    </w:p>
    <w:p w14:paraId="686F3445" w14:textId="67251325" w:rsidR="00D84B60" w:rsidRPr="00083184" w:rsidRDefault="00D84B60">
      <w:pPr>
        <w:spacing w:line="259" w:lineRule="exact"/>
        <w:ind w:left="120"/>
        <w:rPr>
          <w:b/>
          <w:sz w:val="24"/>
        </w:rPr>
      </w:pPr>
      <w:r w:rsidRPr="00083184">
        <w:rPr>
          <w:b/>
          <w:spacing w:val="-4"/>
          <w:sz w:val="24"/>
        </w:rPr>
        <w:t>BETWEEN</w:t>
      </w:r>
      <w:r w:rsidR="00C951AC">
        <w:rPr>
          <w:b/>
          <w:spacing w:val="-4"/>
          <w:sz w:val="24"/>
        </w:rPr>
        <w:t>:</w:t>
      </w:r>
    </w:p>
    <w:p w14:paraId="49A58054" w14:textId="77777777" w:rsidR="00BB57FF" w:rsidRPr="00083184" w:rsidRDefault="001474D2">
      <w:pPr>
        <w:spacing w:before="182"/>
        <w:ind w:left="224" w:right="241"/>
        <w:jc w:val="center"/>
        <w:rPr>
          <w:b/>
          <w:sz w:val="24"/>
        </w:rPr>
      </w:pPr>
      <w:r w:rsidRPr="00083184">
        <w:rPr>
          <w:b/>
          <w:sz w:val="24"/>
        </w:rPr>
        <w:t>UNITED</w:t>
      </w:r>
      <w:r w:rsidRPr="00083184">
        <w:rPr>
          <w:b/>
          <w:spacing w:val="-5"/>
          <w:sz w:val="24"/>
        </w:rPr>
        <w:t xml:space="preserve"> </w:t>
      </w:r>
      <w:r w:rsidRPr="00083184">
        <w:rPr>
          <w:b/>
          <w:sz w:val="24"/>
        </w:rPr>
        <w:t>KINGDOM</w:t>
      </w:r>
      <w:r w:rsidRPr="00083184">
        <w:rPr>
          <w:b/>
          <w:spacing w:val="-5"/>
          <w:sz w:val="24"/>
        </w:rPr>
        <w:t xml:space="preserve"> </w:t>
      </w:r>
      <w:r w:rsidRPr="00083184">
        <w:rPr>
          <w:b/>
          <w:sz w:val="24"/>
        </w:rPr>
        <w:t>OIL</w:t>
      </w:r>
      <w:r w:rsidRPr="00083184">
        <w:rPr>
          <w:b/>
          <w:spacing w:val="-5"/>
          <w:sz w:val="24"/>
        </w:rPr>
        <w:t xml:space="preserve"> </w:t>
      </w:r>
      <w:r w:rsidRPr="00083184">
        <w:rPr>
          <w:b/>
          <w:sz w:val="24"/>
        </w:rPr>
        <w:t>PIPELINES</w:t>
      </w:r>
      <w:r w:rsidRPr="00083184">
        <w:rPr>
          <w:b/>
          <w:spacing w:val="-5"/>
          <w:sz w:val="24"/>
        </w:rPr>
        <w:t xml:space="preserve"> </w:t>
      </w:r>
      <w:r w:rsidRPr="00083184">
        <w:rPr>
          <w:b/>
          <w:spacing w:val="-2"/>
          <w:sz w:val="24"/>
        </w:rPr>
        <w:t>LIMITED</w:t>
      </w:r>
    </w:p>
    <w:p w14:paraId="49A58055" w14:textId="77777777" w:rsidR="00BB57FF" w:rsidRPr="00083184" w:rsidRDefault="001474D2">
      <w:pPr>
        <w:spacing w:before="179" w:line="396" w:lineRule="auto"/>
        <w:ind w:left="1660" w:firstLine="5660"/>
        <w:rPr>
          <w:b/>
          <w:sz w:val="24"/>
        </w:rPr>
      </w:pPr>
      <w:r w:rsidRPr="00083184">
        <w:rPr>
          <w:b/>
          <w:sz w:val="24"/>
          <w:u w:val="thick"/>
        </w:rPr>
        <w:t>First</w:t>
      </w:r>
      <w:r w:rsidRPr="00083184">
        <w:rPr>
          <w:b/>
          <w:spacing w:val="-15"/>
          <w:sz w:val="24"/>
          <w:u w:val="thick"/>
        </w:rPr>
        <w:t xml:space="preserve"> </w:t>
      </w:r>
      <w:r w:rsidRPr="00083184">
        <w:rPr>
          <w:b/>
          <w:sz w:val="24"/>
          <w:u w:val="thick"/>
        </w:rPr>
        <w:t>Claimant</w:t>
      </w:r>
      <w:r w:rsidRPr="00083184">
        <w:rPr>
          <w:b/>
          <w:sz w:val="24"/>
        </w:rPr>
        <w:t xml:space="preserve"> WEST LONDON PIPELINE AND STORAGE LIMITED</w:t>
      </w:r>
    </w:p>
    <w:p w14:paraId="49A58056" w14:textId="77777777" w:rsidR="00BB57FF" w:rsidRPr="00083184" w:rsidRDefault="001474D2">
      <w:pPr>
        <w:ind w:right="190"/>
        <w:jc w:val="right"/>
        <w:rPr>
          <w:b/>
          <w:sz w:val="24"/>
        </w:rPr>
      </w:pPr>
      <w:r w:rsidRPr="00083184">
        <w:rPr>
          <w:b/>
          <w:sz w:val="24"/>
          <w:u w:val="thick"/>
        </w:rPr>
        <w:t>Second</w:t>
      </w:r>
      <w:r w:rsidRPr="00083184">
        <w:rPr>
          <w:b/>
          <w:spacing w:val="-6"/>
          <w:sz w:val="24"/>
          <w:u w:val="thick"/>
        </w:rPr>
        <w:t xml:space="preserve"> </w:t>
      </w:r>
      <w:r w:rsidRPr="00083184">
        <w:rPr>
          <w:b/>
          <w:spacing w:val="-2"/>
          <w:sz w:val="24"/>
          <w:u w:val="thick"/>
        </w:rPr>
        <w:t>Claimant</w:t>
      </w:r>
    </w:p>
    <w:p w14:paraId="49A58057" w14:textId="77777777" w:rsidR="00BB57FF" w:rsidRPr="00083184" w:rsidRDefault="001474D2">
      <w:pPr>
        <w:spacing w:before="183"/>
        <w:ind w:left="224" w:right="241"/>
        <w:jc w:val="center"/>
        <w:rPr>
          <w:b/>
          <w:sz w:val="24"/>
        </w:rPr>
      </w:pPr>
      <w:r w:rsidRPr="00083184">
        <w:rPr>
          <w:b/>
          <w:spacing w:val="-2"/>
          <w:sz w:val="24"/>
        </w:rPr>
        <w:t>-</w:t>
      </w:r>
      <w:r w:rsidRPr="00083184">
        <w:rPr>
          <w:b/>
          <w:spacing w:val="-4"/>
          <w:sz w:val="24"/>
        </w:rPr>
        <w:t>and-</w:t>
      </w:r>
    </w:p>
    <w:p w14:paraId="49A58059" w14:textId="0214B048" w:rsidR="00BB57FF" w:rsidRDefault="00BB57FF">
      <w:pPr>
        <w:spacing w:line="252" w:lineRule="auto"/>
        <w:ind w:left="228" w:right="241"/>
        <w:jc w:val="center"/>
        <w:rPr>
          <w:b/>
          <w:sz w:val="24"/>
        </w:rPr>
      </w:pPr>
    </w:p>
    <w:p w14:paraId="25250BA7" w14:textId="1C12EA67" w:rsidR="00942270" w:rsidRPr="00083184" w:rsidRDefault="00942270">
      <w:pPr>
        <w:spacing w:line="252" w:lineRule="auto"/>
        <w:ind w:left="228" w:right="241"/>
        <w:jc w:val="center"/>
        <w:rPr>
          <w:b/>
          <w:sz w:val="24"/>
        </w:rPr>
      </w:pPr>
      <w:r>
        <w:rPr>
          <w:b/>
          <w:sz w:val="24"/>
        </w:rPr>
        <w:t>PERSONS UNKNOWN (AS FURTHER DEFINED IN THE CLAIM FORM)</w:t>
      </w:r>
    </w:p>
    <w:p w14:paraId="49A5805A" w14:textId="2CEBDB35" w:rsidR="00BB57FF" w:rsidRPr="00083184" w:rsidRDefault="001474D2">
      <w:pPr>
        <w:spacing w:before="157"/>
        <w:ind w:left="7320"/>
        <w:rPr>
          <w:b/>
          <w:sz w:val="24"/>
        </w:rPr>
      </w:pPr>
      <w:r w:rsidRPr="00083184">
        <w:rPr>
          <w:b/>
          <w:spacing w:val="-2"/>
          <w:sz w:val="24"/>
          <w:u w:val="thick"/>
        </w:rPr>
        <w:t>Defendant</w:t>
      </w:r>
      <w:r w:rsidR="00942270">
        <w:rPr>
          <w:b/>
          <w:spacing w:val="-2"/>
          <w:sz w:val="24"/>
          <w:u w:val="thick"/>
        </w:rPr>
        <w:t>s</w:t>
      </w:r>
    </w:p>
    <w:p w14:paraId="49A5805D" w14:textId="77777777" w:rsidR="00BB57FF" w:rsidRPr="00083184" w:rsidRDefault="00BB57FF">
      <w:pPr>
        <w:pStyle w:val="BodyText"/>
        <w:rPr>
          <w:b/>
          <w:sz w:val="20"/>
        </w:rPr>
      </w:pPr>
    </w:p>
    <w:p w14:paraId="49A5805F" w14:textId="77777777" w:rsidR="00BB57FF" w:rsidRPr="00083184" w:rsidRDefault="00BB57FF">
      <w:pPr>
        <w:pStyle w:val="BodyText"/>
        <w:rPr>
          <w:b/>
          <w:sz w:val="20"/>
        </w:rPr>
      </w:pPr>
    </w:p>
    <w:p w14:paraId="49A58060" w14:textId="2C78A47E" w:rsidR="00BB57FF" w:rsidRPr="00083184" w:rsidRDefault="00150F04">
      <w:pPr>
        <w:pStyle w:val="BodyText"/>
        <w:spacing w:before="4"/>
        <w:rPr>
          <w:b/>
          <w:sz w:val="10"/>
        </w:rPr>
      </w:pPr>
      <w:r w:rsidRPr="00083184">
        <w:rPr>
          <w:noProof/>
          <w:lang w:val="en-GB" w:eastAsia="en-GB"/>
        </w:rPr>
        <mc:AlternateContent>
          <mc:Choice Requires="wpg">
            <w:drawing>
              <wp:anchor distT="0" distB="0" distL="0" distR="0" simplePos="0" relativeHeight="251658240" behindDoc="1" locked="0" layoutInCell="1" allowOverlap="1" wp14:anchorId="49A5814A" wp14:editId="20670D5E">
                <wp:simplePos x="0" y="0"/>
                <wp:positionH relativeFrom="page">
                  <wp:posOffset>1264920</wp:posOffset>
                </wp:positionH>
                <wp:positionV relativeFrom="paragraph">
                  <wp:posOffset>90805</wp:posOffset>
                </wp:positionV>
                <wp:extent cx="5030470" cy="1651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0470" cy="16510"/>
                          <a:chOff x="1992" y="143"/>
                          <a:chExt cx="7922" cy="26"/>
                        </a:xfrm>
                      </wpg:grpSpPr>
                      <wps:wsp>
                        <wps:cNvPr id="9" name="Line 10"/>
                        <wps:cNvCnPr>
                          <a:cxnSpLocks noChangeShapeType="1"/>
                        </wps:cNvCnPr>
                        <wps:spPr bwMode="auto">
                          <a:xfrm>
                            <a:off x="1992" y="161"/>
                            <a:ext cx="79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docshape2"/>
                        <wps:cNvSpPr>
                          <a:spLocks noChangeArrowheads="1"/>
                        </wps:cNvSpPr>
                        <wps:spPr bwMode="auto">
                          <a:xfrm>
                            <a:off x="1992" y="143"/>
                            <a:ext cx="7922"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36247" id="Group 8" o:spid="_x0000_s1026" style="position:absolute;margin-left:99.6pt;margin-top:7.15pt;width:396.1pt;height:1.3pt;z-index:-251658240;mso-wrap-distance-left:0;mso-wrap-distance-right:0;mso-position-horizontal-relative:page" coordorigin="1992,143" coordsize="792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">
                <v:line id="Line 10" o:spid="_x0000_s1027" style="position:absolute;visibility:visible;mso-wrap-style:square" from="1992,161" to="9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" strokeweight=".26669mm"/>
                <v:rect id="docshape2" o:spid="_x0000_s1028" style="position:absolute;left:1992;top:143;width:7922;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wrap type="topAndBottom" anchorx="page"/>
              </v:group>
            </w:pict>
          </mc:Fallback>
        </mc:AlternateContent>
      </w:r>
    </w:p>
    <w:p w14:paraId="49A58061" w14:textId="77777777" w:rsidR="00BB57FF" w:rsidRPr="00083184" w:rsidRDefault="00BB57FF">
      <w:pPr>
        <w:pStyle w:val="BodyText"/>
        <w:spacing w:before="9"/>
        <w:rPr>
          <w:b/>
          <w:sz w:val="7"/>
        </w:rPr>
      </w:pPr>
    </w:p>
    <w:p w14:paraId="49A58062" w14:textId="77777777" w:rsidR="00BB57FF" w:rsidRPr="00083184" w:rsidRDefault="001474D2" w:rsidP="001D3A79">
      <w:pPr>
        <w:ind w:left="228" w:right="228"/>
        <w:jc w:val="center"/>
        <w:rPr>
          <w:b/>
          <w:sz w:val="24"/>
        </w:rPr>
      </w:pPr>
      <w:r w:rsidRPr="00083184">
        <w:rPr>
          <w:b/>
          <w:sz w:val="24"/>
        </w:rPr>
        <w:t>CLAIMANTS’</w:t>
      </w:r>
      <w:r w:rsidRPr="00083184">
        <w:rPr>
          <w:b/>
          <w:spacing w:val="-7"/>
          <w:sz w:val="24"/>
        </w:rPr>
        <w:t xml:space="preserve"> </w:t>
      </w:r>
      <w:r w:rsidRPr="00083184">
        <w:rPr>
          <w:b/>
          <w:sz w:val="24"/>
        </w:rPr>
        <w:t>SKELETON</w:t>
      </w:r>
      <w:r w:rsidRPr="00083184">
        <w:rPr>
          <w:b/>
          <w:spacing w:val="-6"/>
          <w:sz w:val="24"/>
        </w:rPr>
        <w:t xml:space="preserve"> </w:t>
      </w:r>
      <w:r w:rsidRPr="00083184">
        <w:rPr>
          <w:b/>
          <w:spacing w:val="-2"/>
          <w:sz w:val="24"/>
        </w:rPr>
        <w:t>ARGUMENT</w:t>
      </w:r>
    </w:p>
    <w:p w14:paraId="49A58063" w14:textId="77CF5396" w:rsidR="00BB57FF" w:rsidRPr="00083184" w:rsidRDefault="001474D2" w:rsidP="001D3A79">
      <w:pPr>
        <w:ind w:left="228" w:right="228"/>
        <w:jc w:val="center"/>
        <w:rPr>
          <w:b/>
          <w:sz w:val="24"/>
        </w:rPr>
      </w:pPr>
      <w:r w:rsidRPr="00083184">
        <w:rPr>
          <w:b/>
          <w:sz w:val="24"/>
        </w:rPr>
        <w:t>FOR</w:t>
      </w:r>
      <w:r w:rsidRPr="00083184">
        <w:rPr>
          <w:b/>
          <w:spacing w:val="-7"/>
          <w:sz w:val="24"/>
        </w:rPr>
        <w:t xml:space="preserve"> </w:t>
      </w:r>
      <w:r w:rsidRPr="00083184">
        <w:rPr>
          <w:b/>
          <w:sz w:val="24"/>
        </w:rPr>
        <w:t>THE</w:t>
      </w:r>
      <w:r w:rsidRPr="00083184">
        <w:rPr>
          <w:b/>
          <w:spacing w:val="-6"/>
          <w:sz w:val="24"/>
        </w:rPr>
        <w:t xml:space="preserve"> </w:t>
      </w:r>
      <w:r w:rsidR="00D84B60" w:rsidRPr="00083184">
        <w:rPr>
          <w:b/>
          <w:sz w:val="24"/>
        </w:rPr>
        <w:t>HEARING</w:t>
      </w:r>
      <w:r w:rsidRPr="00083184">
        <w:rPr>
          <w:b/>
          <w:spacing w:val="-5"/>
          <w:sz w:val="24"/>
        </w:rPr>
        <w:t xml:space="preserve"> </w:t>
      </w:r>
      <w:r w:rsidRPr="00083184">
        <w:rPr>
          <w:b/>
          <w:sz w:val="24"/>
        </w:rPr>
        <w:t>ON</w:t>
      </w:r>
      <w:r w:rsidRPr="00083184">
        <w:rPr>
          <w:b/>
          <w:spacing w:val="-6"/>
          <w:sz w:val="24"/>
        </w:rPr>
        <w:t xml:space="preserve"> </w:t>
      </w:r>
      <w:r w:rsidR="00755B8C">
        <w:rPr>
          <w:b/>
          <w:spacing w:val="-6"/>
          <w:sz w:val="24"/>
        </w:rPr>
        <w:t>[ ]</w:t>
      </w:r>
    </w:p>
    <w:p w14:paraId="6F66D071" w14:textId="77777777" w:rsidR="00BB57FF" w:rsidRDefault="00150F04" w:rsidP="00755B8C">
      <w:pPr>
        <w:pStyle w:val="BodyText"/>
        <w:spacing w:before="6"/>
        <w:rPr>
          <w:b/>
          <w:sz w:val="15"/>
        </w:rPr>
      </w:pPr>
      <w:r w:rsidRPr="00083184">
        <w:rPr>
          <w:noProof/>
          <w:lang w:val="en-GB" w:eastAsia="en-GB"/>
        </w:rPr>
        <mc:AlternateContent>
          <mc:Choice Requires="wpg">
            <w:drawing>
              <wp:anchor distT="0" distB="0" distL="0" distR="0" simplePos="0" relativeHeight="251658241" behindDoc="1" locked="0" layoutInCell="1" allowOverlap="1" wp14:anchorId="49A5814B" wp14:editId="6D8648FC">
                <wp:simplePos x="0" y="0"/>
                <wp:positionH relativeFrom="page">
                  <wp:posOffset>1264920</wp:posOffset>
                </wp:positionH>
                <wp:positionV relativeFrom="paragraph">
                  <wp:posOffset>128270</wp:posOffset>
                </wp:positionV>
                <wp:extent cx="5030470" cy="1651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0470" cy="16510"/>
                          <a:chOff x="1992" y="202"/>
                          <a:chExt cx="7922" cy="26"/>
                        </a:xfrm>
                      </wpg:grpSpPr>
                      <wps:wsp>
                        <wps:cNvPr id="6" name="Line 7"/>
                        <wps:cNvCnPr>
                          <a:cxnSpLocks noChangeShapeType="1"/>
                        </wps:cNvCnPr>
                        <wps:spPr bwMode="auto">
                          <a:xfrm>
                            <a:off x="1992" y="220"/>
                            <a:ext cx="79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docshape4"/>
                        <wps:cNvSpPr>
                          <a:spLocks noChangeArrowheads="1"/>
                        </wps:cNvSpPr>
                        <wps:spPr bwMode="auto">
                          <a:xfrm>
                            <a:off x="1992" y="202"/>
                            <a:ext cx="7922"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251A6" id="Group 5" o:spid="_x0000_s1026" style="position:absolute;margin-left:99.6pt;margin-top:10.1pt;width:396.1pt;height:1.3pt;z-index:-251658239;mso-wrap-distance-left:0;mso-wrap-distance-right:0;mso-position-horizontal-relative:page" coordorigin="1992,202" coordsize="792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">
                <v:line id="Line 7" o:spid="_x0000_s1027" style="position:absolute;visibility:visible;mso-wrap-style:square" from="1992,220" to="991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" strokeweight=".26669mm"/>
                <v:rect id="docshape4" o:spid="_x0000_s1028" style="position:absolute;left:1992;top:202;width:7922;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wrap type="topAndBottom" anchorx="page"/>
              </v:group>
            </w:pict>
          </mc:Fallback>
        </mc:AlternateContent>
      </w:r>
    </w:p>
    <w:p w14:paraId="070C3F8D" w14:textId="77777777" w:rsidR="006814CF" w:rsidRPr="001D3A79" w:rsidRDefault="006814CF" w:rsidP="006814CF">
      <w:pPr>
        <w:rPr>
          <w:sz w:val="6"/>
          <w:szCs w:val="6"/>
        </w:rPr>
      </w:pPr>
    </w:p>
    <w:p w14:paraId="116BAFCC" w14:textId="77777777" w:rsidR="006814CF" w:rsidRPr="006814CF" w:rsidRDefault="006814CF" w:rsidP="006814CF"/>
    <w:p w14:paraId="6C4AA176" w14:textId="49CF5EB3" w:rsidR="00486EFB" w:rsidRPr="00486EFB" w:rsidRDefault="00486EFB" w:rsidP="00DF67B2">
      <w:pPr>
        <w:tabs>
          <w:tab w:val="left" w:pos="841"/>
        </w:tabs>
        <w:spacing w:line="360" w:lineRule="auto"/>
        <w:ind w:right="116"/>
        <w:rPr>
          <w:smallCaps/>
          <w:sz w:val="20"/>
          <w:szCs w:val="20"/>
        </w:rPr>
      </w:pPr>
      <w:r w:rsidRPr="00486EFB">
        <w:rPr>
          <w:smallCaps/>
          <w:sz w:val="20"/>
          <w:szCs w:val="20"/>
        </w:rPr>
        <w:t>Time estimate</w:t>
      </w:r>
      <w:r w:rsidR="00240B55">
        <w:rPr>
          <w:smallCaps/>
          <w:sz w:val="20"/>
          <w:szCs w:val="20"/>
        </w:rPr>
        <w:t xml:space="preserve"> for reading</w:t>
      </w:r>
      <w:r w:rsidRPr="00486EFB">
        <w:rPr>
          <w:smallCaps/>
          <w:sz w:val="20"/>
          <w:szCs w:val="20"/>
        </w:rPr>
        <w:t xml:space="preserve">: </w:t>
      </w:r>
      <w:r w:rsidR="00E03954">
        <w:rPr>
          <w:smallCaps/>
          <w:sz w:val="20"/>
          <w:szCs w:val="20"/>
        </w:rPr>
        <w:t xml:space="preserve">circa </w:t>
      </w:r>
      <w:r w:rsidR="00E20027" w:rsidRPr="00E03954">
        <w:rPr>
          <w:smallCaps/>
          <w:sz w:val="20"/>
          <w:szCs w:val="20"/>
        </w:rPr>
        <w:t>1hr</w:t>
      </w:r>
      <w:r w:rsidRPr="00486EFB">
        <w:rPr>
          <w:smallCaps/>
          <w:sz w:val="20"/>
          <w:szCs w:val="20"/>
        </w:rPr>
        <w:t xml:space="preserve"> </w:t>
      </w:r>
    </w:p>
    <w:p w14:paraId="2BE5E4CF" w14:textId="6EDF6A17" w:rsidR="00486EFB" w:rsidRPr="00486EFB" w:rsidRDefault="00DF67B2" w:rsidP="00DF67B2">
      <w:pPr>
        <w:tabs>
          <w:tab w:val="left" w:pos="841"/>
        </w:tabs>
        <w:spacing w:line="360" w:lineRule="auto"/>
        <w:ind w:right="116"/>
        <w:rPr>
          <w:smallCaps/>
          <w:sz w:val="20"/>
          <w:szCs w:val="20"/>
        </w:rPr>
      </w:pPr>
      <w:r>
        <w:rPr>
          <w:smallCaps/>
          <w:sz w:val="20"/>
          <w:szCs w:val="20"/>
        </w:rPr>
        <w:t>Suggested pre-</w:t>
      </w:r>
      <w:r w:rsidR="00486EFB" w:rsidRPr="00486EFB">
        <w:rPr>
          <w:smallCaps/>
          <w:sz w:val="20"/>
          <w:szCs w:val="20"/>
        </w:rPr>
        <w:t>reading:</w:t>
      </w:r>
    </w:p>
    <w:p w14:paraId="554C1A1B" w14:textId="60B8DC0D" w:rsidR="006C37CD" w:rsidRDefault="006C37CD" w:rsidP="00DF67B2">
      <w:pPr>
        <w:pStyle w:val="ListParagraph"/>
        <w:numPr>
          <w:ilvl w:val="0"/>
          <w:numId w:val="17"/>
        </w:numPr>
        <w:tabs>
          <w:tab w:val="left" w:pos="841"/>
        </w:tabs>
        <w:spacing w:line="360" w:lineRule="auto"/>
        <w:ind w:right="116"/>
        <w:rPr>
          <w:smallCaps/>
          <w:sz w:val="20"/>
          <w:szCs w:val="20"/>
        </w:rPr>
      </w:pPr>
      <w:r>
        <w:rPr>
          <w:smallCaps/>
          <w:sz w:val="20"/>
          <w:szCs w:val="20"/>
        </w:rPr>
        <w:t>Order of Rajah J</w:t>
      </w:r>
      <w:r w:rsidR="008547F1">
        <w:rPr>
          <w:smallCaps/>
          <w:sz w:val="20"/>
          <w:szCs w:val="20"/>
        </w:rPr>
        <w:t>, dated 21 April 2023</w:t>
      </w:r>
      <w:r>
        <w:rPr>
          <w:smallCaps/>
          <w:sz w:val="20"/>
          <w:szCs w:val="20"/>
        </w:rPr>
        <w:t xml:space="preserve"> </w:t>
      </w:r>
      <w:r w:rsidRPr="00E03954">
        <w:rPr>
          <w:b/>
          <w:bCs/>
          <w:smallCaps/>
          <w:sz w:val="20"/>
          <w:szCs w:val="20"/>
        </w:rPr>
        <w:t>[</w:t>
      </w:r>
      <w:r w:rsidR="000A0E8B">
        <w:rPr>
          <w:b/>
          <w:bCs/>
          <w:smallCaps/>
          <w:sz w:val="20"/>
          <w:szCs w:val="20"/>
        </w:rPr>
        <w:t>HB/142</w:t>
      </w:r>
      <w:r w:rsidRPr="00E03954">
        <w:rPr>
          <w:b/>
          <w:bCs/>
          <w:smallCaps/>
          <w:sz w:val="20"/>
          <w:szCs w:val="20"/>
        </w:rPr>
        <w:t>]</w:t>
      </w:r>
    </w:p>
    <w:p w14:paraId="7C1E50C8" w14:textId="6EBAC4A3" w:rsidR="009C56E0" w:rsidRPr="002075D8" w:rsidRDefault="009C56E0" w:rsidP="00DF67B2">
      <w:pPr>
        <w:pStyle w:val="ListParagraph"/>
        <w:numPr>
          <w:ilvl w:val="0"/>
          <w:numId w:val="17"/>
        </w:numPr>
        <w:tabs>
          <w:tab w:val="left" w:pos="841"/>
        </w:tabs>
        <w:spacing w:line="360" w:lineRule="auto"/>
        <w:ind w:right="116"/>
        <w:rPr>
          <w:smallCaps/>
          <w:sz w:val="20"/>
          <w:szCs w:val="20"/>
        </w:rPr>
      </w:pPr>
      <w:r w:rsidRPr="002075D8">
        <w:rPr>
          <w:smallCaps/>
          <w:sz w:val="20"/>
          <w:szCs w:val="20"/>
        </w:rPr>
        <w:t xml:space="preserve">draft Order </w:t>
      </w:r>
      <w:r w:rsidRPr="002075D8">
        <w:rPr>
          <w:b/>
          <w:bCs/>
          <w:smallCaps/>
          <w:sz w:val="20"/>
          <w:szCs w:val="20"/>
        </w:rPr>
        <w:t>[</w:t>
      </w:r>
      <w:r w:rsidR="008F4F96">
        <w:rPr>
          <w:b/>
          <w:bCs/>
          <w:smallCaps/>
          <w:sz w:val="20"/>
          <w:szCs w:val="20"/>
        </w:rPr>
        <w:t>HB/44</w:t>
      </w:r>
      <w:r w:rsidRPr="002075D8">
        <w:rPr>
          <w:b/>
          <w:bCs/>
          <w:smallCaps/>
          <w:sz w:val="20"/>
          <w:szCs w:val="20"/>
        </w:rPr>
        <w:t>]</w:t>
      </w:r>
    </w:p>
    <w:p w14:paraId="69211F5A" w14:textId="32357AB1" w:rsidR="00194B1B" w:rsidRPr="002075D8" w:rsidRDefault="000A7130" w:rsidP="00DF67B2">
      <w:pPr>
        <w:pStyle w:val="ListParagraph"/>
        <w:numPr>
          <w:ilvl w:val="0"/>
          <w:numId w:val="17"/>
        </w:numPr>
        <w:tabs>
          <w:tab w:val="left" w:pos="841"/>
        </w:tabs>
        <w:spacing w:line="360" w:lineRule="auto"/>
        <w:ind w:right="116"/>
        <w:rPr>
          <w:smallCaps/>
          <w:sz w:val="20"/>
          <w:szCs w:val="20"/>
        </w:rPr>
      </w:pPr>
      <w:r w:rsidRPr="002075D8">
        <w:rPr>
          <w:smallCaps/>
          <w:sz w:val="20"/>
          <w:szCs w:val="20"/>
        </w:rPr>
        <w:t xml:space="preserve">First Witness Statement of Peter Davis, dated 7 April 2022 </w:t>
      </w:r>
      <w:r w:rsidRPr="002075D8">
        <w:rPr>
          <w:b/>
          <w:bCs/>
          <w:smallCaps/>
          <w:sz w:val="20"/>
          <w:szCs w:val="20"/>
        </w:rPr>
        <w:t>[</w:t>
      </w:r>
      <w:r w:rsidR="008F4F96">
        <w:rPr>
          <w:b/>
          <w:bCs/>
          <w:smallCaps/>
          <w:sz w:val="20"/>
          <w:szCs w:val="20"/>
        </w:rPr>
        <w:t>HB/159</w:t>
      </w:r>
      <w:r w:rsidRPr="002075D8">
        <w:rPr>
          <w:b/>
          <w:bCs/>
          <w:smallCaps/>
          <w:sz w:val="20"/>
          <w:szCs w:val="20"/>
        </w:rPr>
        <w:t>]</w:t>
      </w:r>
    </w:p>
    <w:p w14:paraId="00F9C053" w14:textId="0F8B4FD2" w:rsidR="00931686" w:rsidRPr="002075D8" w:rsidRDefault="00931686" w:rsidP="00DF67B2">
      <w:pPr>
        <w:pStyle w:val="ListParagraph"/>
        <w:numPr>
          <w:ilvl w:val="0"/>
          <w:numId w:val="17"/>
        </w:numPr>
        <w:tabs>
          <w:tab w:val="left" w:pos="841"/>
        </w:tabs>
        <w:spacing w:line="360" w:lineRule="auto"/>
        <w:ind w:right="116"/>
        <w:rPr>
          <w:smallCaps/>
          <w:sz w:val="20"/>
          <w:szCs w:val="20"/>
        </w:rPr>
      </w:pPr>
      <w:r w:rsidRPr="002075D8">
        <w:rPr>
          <w:smallCaps/>
          <w:sz w:val="20"/>
          <w:szCs w:val="20"/>
        </w:rPr>
        <w:t xml:space="preserve">First Witness Statement of John Armstrong, dated 7 April 2022 </w:t>
      </w:r>
      <w:r w:rsidRPr="002075D8">
        <w:rPr>
          <w:b/>
          <w:bCs/>
          <w:smallCaps/>
          <w:sz w:val="20"/>
          <w:szCs w:val="20"/>
        </w:rPr>
        <w:t>[</w:t>
      </w:r>
      <w:r w:rsidR="00646EB6">
        <w:rPr>
          <w:b/>
          <w:bCs/>
          <w:smallCaps/>
          <w:sz w:val="20"/>
          <w:szCs w:val="20"/>
        </w:rPr>
        <w:t>HB/167</w:t>
      </w:r>
      <w:r w:rsidRPr="002075D8">
        <w:rPr>
          <w:b/>
          <w:bCs/>
          <w:smallCaps/>
          <w:sz w:val="20"/>
          <w:szCs w:val="20"/>
        </w:rPr>
        <w:t>]</w:t>
      </w:r>
    </w:p>
    <w:p w14:paraId="0A548F66" w14:textId="2CF3CDD8" w:rsidR="001C33EA" w:rsidRPr="002075D8" w:rsidRDefault="001C33EA" w:rsidP="00DF67B2">
      <w:pPr>
        <w:pStyle w:val="ListParagraph"/>
        <w:numPr>
          <w:ilvl w:val="0"/>
          <w:numId w:val="17"/>
        </w:numPr>
        <w:tabs>
          <w:tab w:val="left" w:pos="841"/>
        </w:tabs>
        <w:spacing w:line="360" w:lineRule="auto"/>
        <w:ind w:right="116"/>
        <w:rPr>
          <w:smallCaps/>
          <w:sz w:val="20"/>
          <w:szCs w:val="20"/>
        </w:rPr>
      </w:pPr>
      <w:r w:rsidRPr="002075D8">
        <w:rPr>
          <w:smallCaps/>
          <w:sz w:val="20"/>
          <w:szCs w:val="20"/>
        </w:rPr>
        <w:t xml:space="preserve">Second Witness Statement of John Armstrong, dated 14 April 2022 </w:t>
      </w:r>
      <w:r w:rsidRPr="002075D8">
        <w:rPr>
          <w:b/>
          <w:bCs/>
          <w:smallCaps/>
          <w:sz w:val="20"/>
          <w:szCs w:val="20"/>
        </w:rPr>
        <w:t>[</w:t>
      </w:r>
      <w:r w:rsidR="00646EB6">
        <w:rPr>
          <w:b/>
          <w:bCs/>
          <w:smallCaps/>
          <w:sz w:val="20"/>
          <w:szCs w:val="20"/>
        </w:rPr>
        <w:t>HB/193</w:t>
      </w:r>
      <w:r w:rsidRPr="002075D8">
        <w:rPr>
          <w:b/>
          <w:bCs/>
          <w:smallCaps/>
          <w:sz w:val="20"/>
          <w:szCs w:val="20"/>
        </w:rPr>
        <w:t>]</w:t>
      </w:r>
    </w:p>
    <w:p w14:paraId="051CB020" w14:textId="3077C4B1" w:rsidR="001C33EA" w:rsidRPr="002075D8" w:rsidRDefault="001C33EA" w:rsidP="00DF67B2">
      <w:pPr>
        <w:pStyle w:val="ListParagraph"/>
        <w:numPr>
          <w:ilvl w:val="0"/>
          <w:numId w:val="17"/>
        </w:numPr>
        <w:tabs>
          <w:tab w:val="left" w:pos="841"/>
        </w:tabs>
        <w:spacing w:line="360" w:lineRule="auto"/>
        <w:ind w:right="116"/>
        <w:rPr>
          <w:smallCaps/>
          <w:sz w:val="20"/>
          <w:szCs w:val="20"/>
        </w:rPr>
      </w:pPr>
      <w:r w:rsidRPr="002075D8">
        <w:rPr>
          <w:smallCaps/>
          <w:sz w:val="20"/>
          <w:szCs w:val="20"/>
        </w:rPr>
        <w:t xml:space="preserve">Third Witness Statement of John Armstrong, dated </w:t>
      </w:r>
      <w:r w:rsidR="00E0263F" w:rsidRPr="002075D8">
        <w:rPr>
          <w:smallCaps/>
          <w:sz w:val="20"/>
          <w:szCs w:val="20"/>
        </w:rPr>
        <w:t xml:space="preserve">5 April 2023 </w:t>
      </w:r>
      <w:r w:rsidR="00E0263F" w:rsidRPr="002075D8">
        <w:rPr>
          <w:b/>
          <w:bCs/>
          <w:smallCaps/>
          <w:sz w:val="20"/>
          <w:szCs w:val="20"/>
        </w:rPr>
        <w:t>[</w:t>
      </w:r>
      <w:r w:rsidR="00646EB6">
        <w:rPr>
          <w:b/>
          <w:bCs/>
          <w:smallCaps/>
          <w:sz w:val="20"/>
          <w:szCs w:val="20"/>
        </w:rPr>
        <w:t>HB/202</w:t>
      </w:r>
      <w:r w:rsidR="00E0263F" w:rsidRPr="002075D8">
        <w:rPr>
          <w:b/>
          <w:bCs/>
          <w:smallCaps/>
          <w:sz w:val="20"/>
          <w:szCs w:val="20"/>
        </w:rPr>
        <w:t>]</w:t>
      </w:r>
    </w:p>
    <w:p w14:paraId="303895FA" w14:textId="230BDAB2" w:rsidR="00486EFB" w:rsidRPr="002075D8" w:rsidRDefault="00B85A19" w:rsidP="00DF67B2">
      <w:pPr>
        <w:pStyle w:val="ListParagraph"/>
        <w:numPr>
          <w:ilvl w:val="0"/>
          <w:numId w:val="17"/>
        </w:numPr>
        <w:tabs>
          <w:tab w:val="left" w:pos="841"/>
        </w:tabs>
        <w:spacing w:line="360" w:lineRule="auto"/>
        <w:ind w:right="116"/>
        <w:rPr>
          <w:smallCaps/>
          <w:sz w:val="20"/>
          <w:szCs w:val="20"/>
        </w:rPr>
      </w:pPr>
      <w:r w:rsidRPr="002075D8">
        <w:rPr>
          <w:smallCaps/>
          <w:sz w:val="20"/>
          <w:szCs w:val="20"/>
        </w:rPr>
        <w:t>Fourth Witness Statement of John Armstrong, dated 6 July 2023</w:t>
      </w:r>
      <w:r w:rsidR="009C56E0" w:rsidRPr="002075D8">
        <w:rPr>
          <w:smallCaps/>
          <w:sz w:val="20"/>
          <w:szCs w:val="20"/>
        </w:rPr>
        <w:t xml:space="preserve"> </w:t>
      </w:r>
      <w:r w:rsidR="009C56E0" w:rsidRPr="002075D8">
        <w:rPr>
          <w:b/>
          <w:bCs/>
          <w:smallCaps/>
          <w:sz w:val="20"/>
          <w:szCs w:val="20"/>
        </w:rPr>
        <w:t>[</w:t>
      </w:r>
      <w:r w:rsidR="00646EB6">
        <w:rPr>
          <w:b/>
          <w:bCs/>
          <w:smallCaps/>
          <w:sz w:val="20"/>
          <w:szCs w:val="20"/>
        </w:rPr>
        <w:t>HB/</w:t>
      </w:r>
      <w:r w:rsidR="004A7B5A">
        <w:rPr>
          <w:b/>
          <w:bCs/>
          <w:smallCaps/>
          <w:sz w:val="20"/>
          <w:szCs w:val="20"/>
        </w:rPr>
        <w:t>220</w:t>
      </w:r>
      <w:r w:rsidR="009C56E0" w:rsidRPr="002075D8">
        <w:rPr>
          <w:b/>
          <w:bCs/>
          <w:smallCaps/>
          <w:sz w:val="20"/>
          <w:szCs w:val="20"/>
        </w:rPr>
        <w:t>]</w:t>
      </w:r>
    </w:p>
    <w:p w14:paraId="5F7E8C7C" w14:textId="299D889C" w:rsidR="00E327A1" w:rsidRPr="002075D8" w:rsidRDefault="00E327A1" w:rsidP="00DF67B2">
      <w:pPr>
        <w:pStyle w:val="ListParagraph"/>
        <w:numPr>
          <w:ilvl w:val="0"/>
          <w:numId w:val="17"/>
        </w:numPr>
        <w:tabs>
          <w:tab w:val="left" w:pos="841"/>
        </w:tabs>
        <w:spacing w:line="360" w:lineRule="auto"/>
        <w:ind w:right="116"/>
        <w:rPr>
          <w:smallCaps/>
          <w:sz w:val="20"/>
          <w:szCs w:val="20"/>
        </w:rPr>
      </w:pPr>
      <w:r w:rsidRPr="002075D8">
        <w:rPr>
          <w:smallCaps/>
          <w:sz w:val="20"/>
          <w:szCs w:val="20"/>
        </w:rPr>
        <w:t xml:space="preserve">Fifth Witness Statement of John Armstrong, dated </w:t>
      </w:r>
      <w:r w:rsidR="00CA6136" w:rsidRPr="002075D8">
        <w:rPr>
          <w:smallCaps/>
          <w:sz w:val="20"/>
          <w:szCs w:val="20"/>
        </w:rPr>
        <w:t>22 September 2023</w:t>
      </w:r>
      <w:r w:rsidR="009C56E0" w:rsidRPr="002075D8">
        <w:rPr>
          <w:smallCaps/>
          <w:sz w:val="20"/>
          <w:szCs w:val="20"/>
        </w:rPr>
        <w:t xml:space="preserve"> </w:t>
      </w:r>
      <w:r w:rsidR="009C56E0" w:rsidRPr="002075D8">
        <w:rPr>
          <w:b/>
          <w:bCs/>
          <w:smallCaps/>
          <w:sz w:val="20"/>
          <w:szCs w:val="20"/>
        </w:rPr>
        <w:t>[</w:t>
      </w:r>
      <w:r w:rsidR="004A7B5A">
        <w:rPr>
          <w:b/>
          <w:bCs/>
          <w:smallCaps/>
          <w:sz w:val="20"/>
          <w:szCs w:val="20"/>
        </w:rPr>
        <w:t>HB/236</w:t>
      </w:r>
      <w:r w:rsidR="009C56E0" w:rsidRPr="002075D8">
        <w:rPr>
          <w:b/>
          <w:bCs/>
          <w:smallCaps/>
          <w:sz w:val="20"/>
          <w:szCs w:val="20"/>
        </w:rPr>
        <w:t>]</w:t>
      </w:r>
    </w:p>
    <w:p w14:paraId="4975F9B2" w14:textId="77777777" w:rsidR="00410081" w:rsidRPr="00410081" w:rsidRDefault="00410081" w:rsidP="00410081">
      <w:pPr>
        <w:tabs>
          <w:tab w:val="left" w:pos="841"/>
        </w:tabs>
        <w:spacing w:line="360" w:lineRule="auto"/>
        <w:ind w:right="116"/>
        <w:rPr>
          <w:smallCaps/>
          <w:sz w:val="6"/>
          <w:szCs w:val="6"/>
        </w:rPr>
      </w:pPr>
    </w:p>
    <w:p w14:paraId="1967D522" w14:textId="01CB7D9B" w:rsidR="00DB04B4" w:rsidRPr="001D3A79" w:rsidRDefault="00030178" w:rsidP="00410081">
      <w:pPr>
        <w:tabs>
          <w:tab w:val="left" w:pos="841"/>
        </w:tabs>
        <w:spacing w:before="61" w:after="240" w:line="360" w:lineRule="auto"/>
        <w:ind w:right="116"/>
        <w:rPr>
          <w:smallCaps/>
          <w:sz w:val="20"/>
          <w:szCs w:val="20"/>
        </w:rPr>
      </w:pPr>
      <w:r>
        <w:rPr>
          <w:smallCaps/>
          <w:sz w:val="20"/>
          <w:szCs w:val="20"/>
        </w:rPr>
        <w:t xml:space="preserve">References to the main </w:t>
      </w:r>
      <w:r w:rsidR="00F2253B">
        <w:rPr>
          <w:smallCaps/>
          <w:sz w:val="20"/>
          <w:szCs w:val="20"/>
        </w:rPr>
        <w:t>H</w:t>
      </w:r>
      <w:r>
        <w:rPr>
          <w:smallCaps/>
          <w:sz w:val="20"/>
          <w:szCs w:val="20"/>
        </w:rPr>
        <w:t xml:space="preserve">earing </w:t>
      </w:r>
      <w:r w:rsidR="00F2253B">
        <w:rPr>
          <w:smallCaps/>
          <w:sz w:val="20"/>
          <w:szCs w:val="20"/>
        </w:rPr>
        <w:t>B</w:t>
      </w:r>
      <w:r>
        <w:rPr>
          <w:smallCaps/>
          <w:sz w:val="20"/>
          <w:szCs w:val="20"/>
        </w:rPr>
        <w:t>undle are in the form “</w:t>
      </w:r>
      <w:r>
        <w:rPr>
          <w:b/>
          <w:bCs/>
          <w:smallCaps/>
          <w:sz w:val="20"/>
          <w:szCs w:val="20"/>
        </w:rPr>
        <w:t>[HB/x]”</w:t>
      </w:r>
      <w:r>
        <w:rPr>
          <w:smallCaps/>
          <w:sz w:val="20"/>
          <w:szCs w:val="20"/>
        </w:rPr>
        <w:t xml:space="preserve">. References to the </w:t>
      </w:r>
      <w:r w:rsidR="00023C65">
        <w:rPr>
          <w:smallCaps/>
          <w:sz w:val="20"/>
          <w:szCs w:val="20"/>
        </w:rPr>
        <w:t xml:space="preserve">three </w:t>
      </w:r>
      <w:r>
        <w:rPr>
          <w:smallCaps/>
          <w:sz w:val="20"/>
          <w:szCs w:val="20"/>
        </w:rPr>
        <w:t xml:space="preserve">Exhibit Bundles are in the form </w:t>
      </w:r>
      <w:r w:rsidR="00023C65">
        <w:rPr>
          <w:smallCaps/>
          <w:sz w:val="20"/>
          <w:szCs w:val="20"/>
        </w:rPr>
        <w:t>“[</w:t>
      </w:r>
      <w:r w:rsidR="00023C65">
        <w:rPr>
          <w:b/>
          <w:bCs/>
          <w:smallCaps/>
          <w:sz w:val="20"/>
          <w:szCs w:val="20"/>
        </w:rPr>
        <w:t>EB1/x</w:t>
      </w:r>
      <w:r w:rsidR="00023C65">
        <w:rPr>
          <w:smallCaps/>
          <w:sz w:val="20"/>
          <w:szCs w:val="20"/>
        </w:rPr>
        <w:t xml:space="preserve">]”, </w:t>
      </w:r>
      <w:r w:rsidR="00023C65">
        <w:rPr>
          <w:b/>
          <w:bCs/>
          <w:smallCaps/>
          <w:sz w:val="20"/>
          <w:szCs w:val="20"/>
        </w:rPr>
        <w:t>[EB2/x]</w:t>
      </w:r>
      <w:r w:rsidR="00023C65">
        <w:rPr>
          <w:smallCaps/>
          <w:sz w:val="20"/>
          <w:szCs w:val="20"/>
        </w:rPr>
        <w:t>” and “</w:t>
      </w:r>
      <w:r w:rsidR="00023C65" w:rsidRPr="00023C65">
        <w:rPr>
          <w:b/>
          <w:bCs/>
          <w:smallCaps/>
          <w:sz w:val="20"/>
          <w:szCs w:val="20"/>
        </w:rPr>
        <w:t>[EB</w:t>
      </w:r>
      <w:r w:rsidR="00023C65">
        <w:rPr>
          <w:b/>
          <w:bCs/>
          <w:smallCaps/>
          <w:sz w:val="20"/>
          <w:szCs w:val="20"/>
        </w:rPr>
        <w:t>3</w:t>
      </w:r>
      <w:r w:rsidR="00023C65" w:rsidRPr="00023C65">
        <w:rPr>
          <w:b/>
          <w:bCs/>
          <w:smallCaps/>
          <w:sz w:val="20"/>
          <w:szCs w:val="20"/>
        </w:rPr>
        <w:t>/</w:t>
      </w:r>
      <w:r w:rsidR="00023C65">
        <w:rPr>
          <w:b/>
          <w:bCs/>
          <w:smallCaps/>
          <w:sz w:val="20"/>
          <w:szCs w:val="20"/>
        </w:rPr>
        <w:t>x</w:t>
      </w:r>
      <w:r w:rsidR="00023C65" w:rsidRPr="00023C65">
        <w:rPr>
          <w:b/>
          <w:bCs/>
          <w:smallCaps/>
          <w:sz w:val="20"/>
          <w:szCs w:val="20"/>
        </w:rPr>
        <w:t>]</w:t>
      </w:r>
      <w:r w:rsidR="00023C65">
        <w:rPr>
          <w:smallCaps/>
          <w:sz w:val="20"/>
          <w:szCs w:val="20"/>
        </w:rPr>
        <w:t>”</w:t>
      </w:r>
      <w:r w:rsidR="00F2253B">
        <w:rPr>
          <w:smallCaps/>
          <w:sz w:val="20"/>
          <w:szCs w:val="20"/>
        </w:rPr>
        <w:t>. References to the Authorities Bundle are in the form “</w:t>
      </w:r>
      <w:r w:rsidR="00F2253B">
        <w:rPr>
          <w:b/>
          <w:bCs/>
          <w:smallCaps/>
          <w:sz w:val="20"/>
          <w:szCs w:val="20"/>
        </w:rPr>
        <w:t>[AB/x</w:t>
      </w:r>
      <w:r w:rsidR="001D3A79">
        <w:rPr>
          <w:b/>
          <w:bCs/>
          <w:smallCaps/>
          <w:sz w:val="20"/>
          <w:szCs w:val="20"/>
        </w:rPr>
        <w:t>]</w:t>
      </w:r>
      <w:r w:rsidR="001D3A79">
        <w:rPr>
          <w:smallCaps/>
          <w:sz w:val="20"/>
          <w:szCs w:val="20"/>
        </w:rPr>
        <w:t>”.</w:t>
      </w:r>
    </w:p>
    <w:p w14:paraId="51F689F0" w14:textId="000A474B" w:rsidR="00407BBE" w:rsidRPr="008A0D37" w:rsidRDefault="001E19E7" w:rsidP="008A0D37">
      <w:pPr>
        <w:pStyle w:val="ListParagraph"/>
        <w:numPr>
          <w:ilvl w:val="0"/>
          <w:numId w:val="18"/>
        </w:numPr>
        <w:tabs>
          <w:tab w:val="left" w:pos="841"/>
        </w:tabs>
        <w:spacing w:before="61" w:line="360" w:lineRule="auto"/>
        <w:ind w:left="567" w:right="116" w:hanging="567"/>
        <w:rPr>
          <w:b/>
          <w:bCs/>
          <w:sz w:val="24"/>
        </w:rPr>
      </w:pPr>
      <w:r w:rsidRPr="008A0D37">
        <w:rPr>
          <w:b/>
          <w:bCs/>
          <w:sz w:val="24"/>
        </w:rPr>
        <w:t>INTRODUCTION</w:t>
      </w:r>
    </w:p>
    <w:p w14:paraId="3233FEDD" w14:textId="19941AAB" w:rsidR="0030168E" w:rsidRDefault="0030168E" w:rsidP="00486EFB">
      <w:pPr>
        <w:pStyle w:val="ListParagraph"/>
        <w:numPr>
          <w:ilvl w:val="0"/>
          <w:numId w:val="15"/>
        </w:numPr>
        <w:tabs>
          <w:tab w:val="left" w:pos="567"/>
        </w:tabs>
        <w:spacing w:before="61" w:after="240" w:line="360" w:lineRule="auto"/>
        <w:ind w:left="567" w:right="116" w:hanging="567"/>
        <w:rPr>
          <w:sz w:val="24"/>
        </w:rPr>
      </w:pPr>
      <w:r>
        <w:rPr>
          <w:sz w:val="24"/>
        </w:rPr>
        <w:t>This is the Claimants’ application for summary judgment, pursuant to CPR Part 24</w:t>
      </w:r>
      <w:r w:rsidR="00B73976">
        <w:rPr>
          <w:sz w:val="24"/>
        </w:rPr>
        <w:t xml:space="preserve">, in relation to its claim for </w:t>
      </w:r>
      <w:r w:rsidR="007521A1">
        <w:rPr>
          <w:sz w:val="24"/>
        </w:rPr>
        <w:t xml:space="preserve">final </w:t>
      </w:r>
      <w:r w:rsidR="00B73976">
        <w:rPr>
          <w:sz w:val="24"/>
        </w:rPr>
        <w:t>injunctive relief against the Defendants</w:t>
      </w:r>
      <w:r w:rsidR="00486EFB">
        <w:rPr>
          <w:sz w:val="24"/>
        </w:rPr>
        <w:t xml:space="preserve">, who are </w:t>
      </w:r>
      <w:r w:rsidR="00D31125">
        <w:rPr>
          <w:sz w:val="24"/>
        </w:rPr>
        <w:t>environmental protestors,</w:t>
      </w:r>
      <w:r w:rsidR="005364E0">
        <w:rPr>
          <w:sz w:val="24"/>
        </w:rPr>
        <w:t xml:space="preserve"> on the basis of trespass and nuisance.</w:t>
      </w:r>
      <w:r w:rsidR="00B73976">
        <w:rPr>
          <w:sz w:val="24"/>
        </w:rPr>
        <w:t xml:space="preserve"> </w:t>
      </w:r>
      <w:r>
        <w:rPr>
          <w:sz w:val="24"/>
        </w:rPr>
        <w:t xml:space="preserve"> </w:t>
      </w:r>
    </w:p>
    <w:p w14:paraId="25C1A341" w14:textId="4D5FD708" w:rsidR="00B03C1A" w:rsidRDefault="00D31125" w:rsidP="00486EFB">
      <w:pPr>
        <w:pStyle w:val="ListParagraph"/>
        <w:numPr>
          <w:ilvl w:val="0"/>
          <w:numId w:val="15"/>
        </w:numPr>
        <w:tabs>
          <w:tab w:val="left" w:pos="567"/>
        </w:tabs>
        <w:spacing w:after="240" w:line="360" w:lineRule="auto"/>
        <w:ind w:left="567" w:right="138" w:hanging="567"/>
        <w:rPr>
          <w:sz w:val="24"/>
        </w:rPr>
      </w:pPr>
      <w:r>
        <w:rPr>
          <w:sz w:val="24"/>
        </w:rPr>
        <w:t>Interim injunctions have previously been granted</w:t>
      </w:r>
      <w:r w:rsidR="0088618A">
        <w:rPr>
          <w:sz w:val="24"/>
        </w:rPr>
        <w:t xml:space="preserve"> in this claim</w:t>
      </w:r>
      <w:r>
        <w:rPr>
          <w:sz w:val="24"/>
        </w:rPr>
        <w:t xml:space="preserve"> by</w:t>
      </w:r>
      <w:r w:rsidR="00B03C1A">
        <w:rPr>
          <w:sz w:val="24"/>
        </w:rPr>
        <w:t>:</w:t>
      </w:r>
    </w:p>
    <w:p w14:paraId="78EA2005" w14:textId="17BF029E" w:rsidR="00D31125" w:rsidRDefault="00D31125" w:rsidP="00B03C1A">
      <w:pPr>
        <w:pStyle w:val="ListParagraph"/>
        <w:numPr>
          <w:ilvl w:val="2"/>
          <w:numId w:val="15"/>
        </w:numPr>
        <w:tabs>
          <w:tab w:val="left" w:pos="567"/>
        </w:tabs>
        <w:spacing w:after="240" w:line="360" w:lineRule="auto"/>
        <w:ind w:left="1701" w:right="138" w:hanging="567"/>
        <w:rPr>
          <w:sz w:val="24"/>
        </w:rPr>
      </w:pPr>
      <w:r>
        <w:rPr>
          <w:sz w:val="24"/>
        </w:rPr>
        <w:lastRenderedPageBreak/>
        <w:t xml:space="preserve">Peter Knox KC </w:t>
      </w:r>
      <w:r w:rsidR="00FE2420">
        <w:rPr>
          <w:sz w:val="24"/>
        </w:rPr>
        <w:t>(sitting as a Deputy High Court Judge) on 12 April 202</w:t>
      </w:r>
      <w:r w:rsidR="00CE71AB">
        <w:rPr>
          <w:sz w:val="24"/>
        </w:rPr>
        <w:t>2</w:t>
      </w:r>
      <w:r w:rsidR="0087214C">
        <w:rPr>
          <w:sz w:val="24"/>
        </w:rPr>
        <w:t xml:space="preserve"> (the “</w:t>
      </w:r>
      <w:r w:rsidR="0087214C" w:rsidRPr="0087214C">
        <w:rPr>
          <w:b/>
          <w:bCs/>
          <w:sz w:val="24"/>
        </w:rPr>
        <w:t>First</w:t>
      </w:r>
      <w:r w:rsidR="0087214C">
        <w:rPr>
          <w:sz w:val="24"/>
        </w:rPr>
        <w:t xml:space="preserve"> </w:t>
      </w:r>
      <w:r w:rsidR="0087214C">
        <w:rPr>
          <w:b/>
          <w:bCs/>
          <w:sz w:val="24"/>
        </w:rPr>
        <w:t>Knox Order</w:t>
      </w:r>
      <w:r w:rsidR="0087214C">
        <w:rPr>
          <w:sz w:val="24"/>
        </w:rPr>
        <w:t>”)</w:t>
      </w:r>
      <w:r w:rsidR="000E36EE">
        <w:rPr>
          <w:sz w:val="24"/>
        </w:rPr>
        <w:t xml:space="preserve"> </w:t>
      </w:r>
      <w:r w:rsidR="000E36EE">
        <w:rPr>
          <w:b/>
          <w:bCs/>
          <w:sz w:val="24"/>
        </w:rPr>
        <w:t>[HB</w:t>
      </w:r>
      <w:r w:rsidR="005E749E">
        <w:rPr>
          <w:b/>
          <w:bCs/>
          <w:sz w:val="24"/>
        </w:rPr>
        <w:t>/94]</w:t>
      </w:r>
      <w:r w:rsidR="00FE2420">
        <w:rPr>
          <w:sz w:val="24"/>
        </w:rPr>
        <w:t>;</w:t>
      </w:r>
    </w:p>
    <w:p w14:paraId="433C0D5C" w14:textId="6F47BBA0" w:rsidR="00DB5B4C" w:rsidRDefault="00FE2420" w:rsidP="00B03C1A">
      <w:pPr>
        <w:pStyle w:val="ListParagraph"/>
        <w:numPr>
          <w:ilvl w:val="2"/>
          <w:numId w:val="15"/>
        </w:numPr>
        <w:tabs>
          <w:tab w:val="left" w:pos="567"/>
        </w:tabs>
        <w:spacing w:after="240" w:line="360" w:lineRule="auto"/>
        <w:ind w:left="1701" w:right="138" w:hanging="567"/>
        <w:rPr>
          <w:sz w:val="24"/>
        </w:rPr>
      </w:pPr>
      <w:r>
        <w:rPr>
          <w:sz w:val="24"/>
        </w:rPr>
        <w:t xml:space="preserve">Peter Knox KC (sitting as a Deputy High Court Judge) on </w:t>
      </w:r>
      <w:r w:rsidR="00CE71AB">
        <w:rPr>
          <w:sz w:val="24"/>
        </w:rPr>
        <w:t>21 April 2022</w:t>
      </w:r>
      <w:r w:rsidR="0087214C">
        <w:rPr>
          <w:sz w:val="24"/>
        </w:rPr>
        <w:t xml:space="preserve"> (the “</w:t>
      </w:r>
      <w:r w:rsidR="0087214C">
        <w:rPr>
          <w:b/>
          <w:bCs/>
          <w:sz w:val="24"/>
        </w:rPr>
        <w:t>Second Knox Order</w:t>
      </w:r>
      <w:r w:rsidR="0087214C">
        <w:rPr>
          <w:sz w:val="24"/>
        </w:rPr>
        <w:t>”)</w:t>
      </w:r>
      <w:r w:rsidR="005E749E">
        <w:rPr>
          <w:sz w:val="24"/>
        </w:rPr>
        <w:t xml:space="preserve"> </w:t>
      </w:r>
      <w:r w:rsidR="005E749E">
        <w:rPr>
          <w:b/>
          <w:bCs/>
          <w:sz w:val="24"/>
        </w:rPr>
        <w:t>[HB/125]</w:t>
      </w:r>
      <w:r w:rsidR="00CE71AB">
        <w:rPr>
          <w:sz w:val="24"/>
        </w:rPr>
        <w:t>; and,</w:t>
      </w:r>
    </w:p>
    <w:p w14:paraId="54676DFD" w14:textId="6BB0BBBE" w:rsidR="00FE2420" w:rsidRDefault="00DB5B4C" w:rsidP="00B03C1A">
      <w:pPr>
        <w:pStyle w:val="ListParagraph"/>
        <w:numPr>
          <w:ilvl w:val="2"/>
          <w:numId w:val="15"/>
        </w:numPr>
        <w:tabs>
          <w:tab w:val="left" w:pos="567"/>
        </w:tabs>
        <w:spacing w:after="240" w:line="360" w:lineRule="auto"/>
        <w:ind w:left="1701" w:right="138" w:hanging="567"/>
        <w:rPr>
          <w:sz w:val="24"/>
        </w:rPr>
      </w:pPr>
      <w:r>
        <w:rPr>
          <w:sz w:val="24"/>
        </w:rPr>
        <w:t>Mr Justice Rajah on 21 April 2023</w:t>
      </w:r>
      <w:r w:rsidR="0087214C">
        <w:rPr>
          <w:sz w:val="24"/>
        </w:rPr>
        <w:t xml:space="preserve"> (the “</w:t>
      </w:r>
      <w:r w:rsidR="0087214C">
        <w:rPr>
          <w:b/>
          <w:bCs/>
          <w:sz w:val="24"/>
        </w:rPr>
        <w:t>Rajah Order</w:t>
      </w:r>
      <w:r w:rsidR="0087214C">
        <w:rPr>
          <w:sz w:val="24"/>
        </w:rPr>
        <w:t>”)</w:t>
      </w:r>
      <w:r w:rsidR="005E749E">
        <w:rPr>
          <w:sz w:val="24"/>
        </w:rPr>
        <w:t xml:space="preserve"> </w:t>
      </w:r>
      <w:r w:rsidR="005E749E">
        <w:rPr>
          <w:b/>
          <w:bCs/>
          <w:sz w:val="24"/>
        </w:rPr>
        <w:t>[HB/142]</w:t>
      </w:r>
      <w:r>
        <w:rPr>
          <w:sz w:val="24"/>
        </w:rPr>
        <w:t>.</w:t>
      </w:r>
    </w:p>
    <w:p w14:paraId="7FBEC8F6" w14:textId="4CD46492" w:rsidR="00845DF1" w:rsidRDefault="00275F86" w:rsidP="00486EFB">
      <w:pPr>
        <w:pStyle w:val="ListParagraph"/>
        <w:numPr>
          <w:ilvl w:val="0"/>
          <w:numId w:val="15"/>
        </w:numPr>
        <w:tabs>
          <w:tab w:val="left" w:pos="567"/>
        </w:tabs>
        <w:spacing w:after="240" w:line="360" w:lineRule="auto"/>
        <w:ind w:left="567" w:right="138" w:hanging="567"/>
        <w:rPr>
          <w:sz w:val="24"/>
        </w:rPr>
      </w:pPr>
      <w:r>
        <w:rPr>
          <w:sz w:val="24"/>
        </w:rPr>
        <w:t>On each of these occasions</w:t>
      </w:r>
      <w:r w:rsidR="000E1D73">
        <w:rPr>
          <w:sz w:val="24"/>
        </w:rPr>
        <w:t>,</w:t>
      </w:r>
      <w:r>
        <w:rPr>
          <w:sz w:val="24"/>
        </w:rPr>
        <w:t xml:space="preserve"> the Judges were satisfied that the </w:t>
      </w:r>
      <w:r w:rsidR="009A4FE9">
        <w:rPr>
          <w:sz w:val="24"/>
        </w:rPr>
        <w:t>Claimants were “</w:t>
      </w:r>
      <w:r w:rsidR="009A4FE9">
        <w:rPr>
          <w:i/>
          <w:iCs/>
          <w:sz w:val="24"/>
        </w:rPr>
        <w:t>likely”</w:t>
      </w:r>
      <w:r w:rsidR="009A4FE9">
        <w:rPr>
          <w:sz w:val="24"/>
        </w:rPr>
        <w:t xml:space="preserve"> to succeed at trial, pursuant to s.12(3) of the Human Rights Act 1998.</w:t>
      </w:r>
      <w:r w:rsidR="00834376">
        <w:rPr>
          <w:rStyle w:val="FootnoteReference"/>
          <w:sz w:val="24"/>
        </w:rPr>
        <w:footnoteReference w:id="2"/>
      </w:r>
      <w:r w:rsidR="009A4FE9">
        <w:rPr>
          <w:sz w:val="24"/>
        </w:rPr>
        <w:t xml:space="preserve"> </w:t>
      </w:r>
    </w:p>
    <w:p w14:paraId="4559C695" w14:textId="05C2B18F" w:rsidR="00B7528C" w:rsidRDefault="00AF4FA5" w:rsidP="00486EFB">
      <w:pPr>
        <w:pStyle w:val="ListParagraph"/>
        <w:numPr>
          <w:ilvl w:val="0"/>
          <w:numId w:val="15"/>
        </w:numPr>
        <w:tabs>
          <w:tab w:val="left" w:pos="567"/>
        </w:tabs>
        <w:spacing w:after="240" w:line="360" w:lineRule="auto"/>
        <w:ind w:left="567" w:right="138" w:hanging="567"/>
        <w:rPr>
          <w:sz w:val="24"/>
        </w:rPr>
      </w:pPr>
      <w:r>
        <w:rPr>
          <w:sz w:val="24"/>
        </w:rPr>
        <w:t>In line with its obligations to progress the claim, t</w:t>
      </w:r>
      <w:r w:rsidR="00B7528C">
        <w:rPr>
          <w:sz w:val="24"/>
        </w:rPr>
        <w:t>he Claimants now seek a final injunction in materially the same terms</w:t>
      </w:r>
      <w:r w:rsidR="00BB42EA">
        <w:rPr>
          <w:sz w:val="24"/>
        </w:rPr>
        <w:t xml:space="preserve"> as the Rajah Order</w:t>
      </w:r>
      <w:r w:rsidR="003618D7">
        <w:rPr>
          <w:sz w:val="24"/>
        </w:rPr>
        <w:t xml:space="preserve"> to last for 5 years with provision for an annual review hearing. This is the same approach </w:t>
      </w:r>
      <w:r w:rsidR="00C0248B">
        <w:rPr>
          <w:sz w:val="24"/>
        </w:rPr>
        <w:t>that</w:t>
      </w:r>
      <w:r w:rsidR="003618D7">
        <w:rPr>
          <w:sz w:val="24"/>
        </w:rPr>
        <w:t xml:space="preserve"> has recently been adopted in</w:t>
      </w:r>
      <w:r w:rsidR="00A06D93">
        <w:rPr>
          <w:sz w:val="24"/>
        </w:rPr>
        <w:t xml:space="preserve"> </w:t>
      </w:r>
      <w:r w:rsidR="00C0248B">
        <w:rPr>
          <w:sz w:val="24"/>
        </w:rPr>
        <w:t>similar cases.</w:t>
      </w:r>
      <w:r w:rsidR="004A6DD6">
        <w:rPr>
          <w:rStyle w:val="FootnoteReference"/>
          <w:sz w:val="24"/>
        </w:rPr>
        <w:footnoteReference w:id="3"/>
      </w:r>
      <w:r w:rsidR="00C0248B">
        <w:rPr>
          <w:sz w:val="24"/>
        </w:rPr>
        <w:t xml:space="preserve"> </w:t>
      </w:r>
    </w:p>
    <w:p w14:paraId="2ECE61C0" w14:textId="5DD18C62" w:rsidR="00BD5801" w:rsidRDefault="00BD5801" w:rsidP="00486EFB">
      <w:pPr>
        <w:pStyle w:val="ListParagraph"/>
        <w:numPr>
          <w:ilvl w:val="0"/>
          <w:numId w:val="15"/>
        </w:numPr>
        <w:tabs>
          <w:tab w:val="left" w:pos="567"/>
        </w:tabs>
        <w:spacing w:after="240" w:line="360" w:lineRule="auto"/>
        <w:ind w:left="567" w:right="138" w:hanging="567"/>
        <w:rPr>
          <w:sz w:val="24"/>
        </w:rPr>
      </w:pPr>
      <w:r>
        <w:rPr>
          <w:sz w:val="24"/>
        </w:rPr>
        <w:t xml:space="preserve">As well as the evidence relied upon </w:t>
      </w:r>
      <w:r w:rsidR="00E106DA">
        <w:rPr>
          <w:sz w:val="24"/>
        </w:rPr>
        <w:t xml:space="preserve">to date, the Claimants also rely upon the </w:t>
      </w:r>
      <w:r w:rsidR="00BA5FE4">
        <w:rPr>
          <w:sz w:val="24"/>
        </w:rPr>
        <w:t>Fourth an</w:t>
      </w:r>
      <w:r w:rsidR="00CE3E20">
        <w:rPr>
          <w:sz w:val="24"/>
        </w:rPr>
        <w:t xml:space="preserve">d </w:t>
      </w:r>
      <w:r w:rsidR="00E106DA">
        <w:rPr>
          <w:sz w:val="24"/>
        </w:rPr>
        <w:t>Fifth Witness Statement</w:t>
      </w:r>
      <w:r w:rsidR="00CE3E20">
        <w:rPr>
          <w:sz w:val="24"/>
        </w:rPr>
        <w:t>s</w:t>
      </w:r>
      <w:r w:rsidR="00E106DA">
        <w:rPr>
          <w:sz w:val="24"/>
        </w:rPr>
        <w:t xml:space="preserve"> of John Armstrong</w:t>
      </w:r>
      <w:r w:rsidR="00CE3E20">
        <w:rPr>
          <w:sz w:val="24"/>
        </w:rPr>
        <w:t>, dated</w:t>
      </w:r>
      <w:r w:rsidR="00CE748B">
        <w:rPr>
          <w:sz w:val="24"/>
        </w:rPr>
        <w:t xml:space="preserve"> 6 July 2023 and 22 September 202</w:t>
      </w:r>
      <w:r w:rsidR="00623D4A">
        <w:rPr>
          <w:sz w:val="24"/>
        </w:rPr>
        <w:t>3</w:t>
      </w:r>
      <w:r w:rsidR="00CE748B">
        <w:rPr>
          <w:sz w:val="24"/>
        </w:rPr>
        <w:t>, respectively</w:t>
      </w:r>
      <w:r w:rsidR="00756CF6">
        <w:rPr>
          <w:sz w:val="24"/>
        </w:rPr>
        <w:t xml:space="preserve"> (</w:t>
      </w:r>
      <w:r w:rsidR="00CE3E20">
        <w:rPr>
          <w:sz w:val="24"/>
        </w:rPr>
        <w:t>“</w:t>
      </w:r>
      <w:r w:rsidR="00CE3E20">
        <w:rPr>
          <w:b/>
          <w:bCs/>
          <w:sz w:val="24"/>
        </w:rPr>
        <w:t>Armstrong 4</w:t>
      </w:r>
      <w:r w:rsidR="00CE3E20" w:rsidRPr="00CE3E20">
        <w:rPr>
          <w:sz w:val="24"/>
        </w:rPr>
        <w:t>”</w:t>
      </w:r>
      <w:r w:rsidR="00CE3E20">
        <w:rPr>
          <w:b/>
          <w:bCs/>
          <w:sz w:val="24"/>
        </w:rPr>
        <w:t xml:space="preserve"> </w:t>
      </w:r>
      <w:r w:rsidR="00CE3E20">
        <w:rPr>
          <w:sz w:val="24"/>
        </w:rPr>
        <w:t xml:space="preserve">and </w:t>
      </w:r>
      <w:r w:rsidR="00756CF6">
        <w:rPr>
          <w:sz w:val="24"/>
        </w:rPr>
        <w:t>“</w:t>
      </w:r>
      <w:r w:rsidR="00756CF6">
        <w:rPr>
          <w:b/>
          <w:bCs/>
          <w:sz w:val="24"/>
        </w:rPr>
        <w:t>Armstrong 5</w:t>
      </w:r>
      <w:r w:rsidR="00756CF6">
        <w:rPr>
          <w:sz w:val="24"/>
        </w:rPr>
        <w:t>”)</w:t>
      </w:r>
      <w:r w:rsidR="00CC207A">
        <w:rPr>
          <w:sz w:val="24"/>
        </w:rPr>
        <w:t xml:space="preserve">, which </w:t>
      </w:r>
      <w:r w:rsidR="00026E7E">
        <w:rPr>
          <w:sz w:val="24"/>
        </w:rPr>
        <w:t xml:space="preserve">provide the Court with the most up-to-date position. </w:t>
      </w:r>
    </w:p>
    <w:p w14:paraId="4F3D185E" w14:textId="62B30713" w:rsidR="00220F0A" w:rsidRDefault="00220F0A" w:rsidP="00220F0A">
      <w:pPr>
        <w:pStyle w:val="ListParagraph"/>
        <w:numPr>
          <w:ilvl w:val="0"/>
          <w:numId w:val="15"/>
        </w:numPr>
        <w:tabs>
          <w:tab w:val="left" w:pos="567"/>
        </w:tabs>
        <w:spacing w:after="240" w:line="360" w:lineRule="auto"/>
        <w:ind w:left="567" w:right="138" w:hanging="567"/>
        <w:rPr>
          <w:sz w:val="24"/>
        </w:rPr>
      </w:pPr>
      <w:r>
        <w:rPr>
          <w:sz w:val="24"/>
        </w:rPr>
        <w:t xml:space="preserve">Notwithstanding the provision for the Defendants to serve any acknowledgement of service, admission or defence within 56 days of the First Knox Order (First Knox Order, §16), no such document has ever been received by the Claimants. </w:t>
      </w:r>
      <w:r w:rsidR="00A8167F">
        <w:rPr>
          <w:sz w:val="24"/>
        </w:rPr>
        <w:t>That period long since expired, t</w:t>
      </w:r>
      <w:r>
        <w:rPr>
          <w:sz w:val="24"/>
        </w:rPr>
        <w:t>he Claimants seek the Court’s permission to make this application under CPR r.24.4(1)(i).</w:t>
      </w:r>
      <w:r w:rsidR="00B02D7D">
        <w:rPr>
          <w:rStyle w:val="FootnoteReference"/>
          <w:sz w:val="24"/>
        </w:rPr>
        <w:footnoteReference w:id="4"/>
      </w:r>
      <w:r>
        <w:rPr>
          <w:sz w:val="24"/>
        </w:rPr>
        <w:t xml:space="preserve">  </w:t>
      </w:r>
      <w:r w:rsidR="00AF4FA5">
        <w:rPr>
          <w:sz w:val="24"/>
        </w:rPr>
        <w:t xml:space="preserve">To date, there has been no engagement by anyone served or notified of the proceedings. </w:t>
      </w:r>
    </w:p>
    <w:p w14:paraId="4FA2927D" w14:textId="049944A4" w:rsidR="00BD5801" w:rsidRDefault="00BD5801" w:rsidP="00486EFB">
      <w:pPr>
        <w:pStyle w:val="ListParagraph"/>
        <w:numPr>
          <w:ilvl w:val="0"/>
          <w:numId w:val="15"/>
        </w:numPr>
        <w:tabs>
          <w:tab w:val="left" w:pos="567"/>
        </w:tabs>
        <w:spacing w:after="240" w:line="360" w:lineRule="auto"/>
        <w:ind w:left="567" w:right="138" w:hanging="567"/>
        <w:rPr>
          <w:sz w:val="24"/>
        </w:rPr>
      </w:pPr>
      <w:r>
        <w:rPr>
          <w:sz w:val="24"/>
        </w:rPr>
        <w:t xml:space="preserve">In light of </w:t>
      </w:r>
      <w:r w:rsidR="00897C61">
        <w:rPr>
          <w:sz w:val="24"/>
        </w:rPr>
        <w:t xml:space="preserve">all the circumstances, including </w:t>
      </w:r>
      <w:r>
        <w:rPr>
          <w:sz w:val="24"/>
        </w:rPr>
        <w:t>the continuing threat posed by the Defendants, the Claimants’ position is that the</w:t>
      </w:r>
      <w:r w:rsidR="00A61D73">
        <w:rPr>
          <w:sz w:val="24"/>
        </w:rPr>
        <w:t xml:space="preserve"> Defendants have no real prospect of successfully defending the claim and there is no other compelling reason why the case should be disposed of at trial: CPR r.24.2</w:t>
      </w:r>
      <w:r w:rsidR="00E52D22">
        <w:rPr>
          <w:sz w:val="24"/>
        </w:rPr>
        <w:t>.</w:t>
      </w:r>
    </w:p>
    <w:p w14:paraId="0F8138BA" w14:textId="2C029D5B" w:rsidR="00E83F2C" w:rsidRDefault="001E19E7" w:rsidP="008A0D37">
      <w:pPr>
        <w:pStyle w:val="BodyText"/>
        <w:numPr>
          <w:ilvl w:val="0"/>
          <w:numId w:val="18"/>
        </w:numPr>
        <w:spacing w:after="240"/>
        <w:ind w:left="567" w:hanging="567"/>
        <w:rPr>
          <w:b/>
        </w:rPr>
      </w:pPr>
      <w:r>
        <w:rPr>
          <w:b/>
        </w:rPr>
        <w:lastRenderedPageBreak/>
        <w:t>SERVICE</w:t>
      </w:r>
      <w:r w:rsidR="00E83F2C">
        <w:rPr>
          <w:b/>
        </w:rPr>
        <w:t xml:space="preserve"> </w:t>
      </w:r>
    </w:p>
    <w:p w14:paraId="7CB458C7" w14:textId="15C92316" w:rsidR="00D1689B" w:rsidRPr="00393FF0" w:rsidRDefault="00CC35B6" w:rsidP="0018295C">
      <w:pPr>
        <w:pStyle w:val="BodyText"/>
        <w:numPr>
          <w:ilvl w:val="0"/>
          <w:numId w:val="15"/>
        </w:numPr>
        <w:spacing w:after="240" w:line="360" w:lineRule="auto"/>
        <w:ind w:left="567" w:hanging="567"/>
        <w:jc w:val="both"/>
        <w:rPr>
          <w:bCs/>
        </w:rPr>
      </w:pPr>
      <w:r w:rsidRPr="00393FF0">
        <w:rPr>
          <w:bCs/>
        </w:rPr>
        <w:t>On 11 July 2023, t</w:t>
      </w:r>
      <w:r w:rsidRPr="00393FF0">
        <w:rPr>
          <w:bCs/>
        </w:rPr>
        <w:t xml:space="preserve">he application documents were uploaded to </w:t>
      </w:r>
      <w:hyperlink r:id="rId8" w:history="1">
        <w:r w:rsidRPr="00393FF0">
          <w:rPr>
            <w:rStyle w:val="Hyperlink"/>
            <w:bCs/>
          </w:rPr>
          <w:t>https://ukop.azurewebsites.net</w:t>
        </w:r>
      </w:hyperlink>
      <w:r w:rsidRPr="00393FF0">
        <w:rPr>
          <w:rStyle w:val="Hyperlink"/>
          <w:bCs/>
        </w:rPr>
        <w:t>.</w:t>
      </w:r>
      <w:r w:rsidRPr="00393FF0">
        <w:rPr>
          <w:bCs/>
        </w:rPr>
        <w:t xml:space="preserve"> </w:t>
      </w:r>
      <w:r w:rsidRPr="00393FF0">
        <w:rPr>
          <w:bCs/>
        </w:rPr>
        <w:t>O</w:t>
      </w:r>
      <w:r w:rsidRPr="00393FF0">
        <w:rPr>
          <w:bCs/>
        </w:rPr>
        <w:t>n the same day</w:t>
      </w:r>
      <w:r w:rsidRPr="00393FF0">
        <w:rPr>
          <w:bCs/>
        </w:rPr>
        <w:t xml:space="preserve">, </w:t>
      </w:r>
      <w:r w:rsidR="00800761" w:rsidRPr="00393FF0">
        <w:rPr>
          <w:bCs/>
        </w:rPr>
        <w:t xml:space="preserve">an email </w:t>
      </w:r>
      <w:r w:rsidR="004948CB" w:rsidRPr="00393FF0">
        <w:rPr>
          <w:bCs/>
        </w:rPr>
        <w:t>was sent to</w:t>
      </w:r>
      <w:r w:rsidR="0018295C" w:rsidRPr="00393FF0">
        <w:rPr>
          <w:bCs/>
        </w:rPr>
        <w:t xml:space="preserve"> </w:t>
      </w:r>
      <w:hyperlink r:id="rId9" w:history="1">
        <w:r w:rsidR="00636058" w:rsidRPr="00393FF0">
          <w:rPr>
            <w:rStyle w:val="Hyperlink"/>
            <w:bCs/>
          </w:rPr>
          <w:t>xr-legal@riseup.net</w:t>
        </w:r>
      </w:hyperlink>
      <w:r w:rsidR="0018295C" w:rsidRPr="00393FF0">
        <w:rPr>
          <w:bCs/>
        </w:rPr>
        <w:t>,</w:t>
      </w:r>
      <w:r w:rsidR="004948CB" w:rsidRPr="00393FF0">
        <w:rPr>
          <w:bCs/>
        </w:rPr>
        <w:t xml:space="preserve"> </w:t>
      </w:r>
      <w:hyperlink r:id="rId10" w:history="1">
        <w:r w:rsidR="004948CB" w:rsidRPr="00393FF0">
          <w:rPr>
            <w:rStyle w:val="Hyperlink"/>
            <w:bCs/>
          </w:rPr>
          <w:t>juststopoilpress@protonmail.com</w:t>
        </w:r>
      </w:hyperlink>
      <w:r w:rsidRPr="00393FF0">
        <w:rPr>
          <w:bCs/>
        </w:rPr>
        <w:t xml:space="preserve">, </w:t>
      </w:r>
      <w:hyperlink r:id="rId11" w:history="1">
        <w:r w:rsidR="004948CB" w:rsidRPr="00393FF0">
          <w:rPr>
            <w:rStyle w:val="Hyperlink"/>
            <w:bCs/>
          </w:rPr>
          <w:t>juststopoil@protonmail.com</w:t>
        </w:r>
      </w:hyperlink>
      <w:r w:rsidR="00636058" w:rsidRPr="00393FF0">
        <w:rPr>
          <w:bCs/>
        </w:rPr>
        <w:t xml:space="preserve"> </w:t>
      </w:r>
      <w:r w:rsidRPr="00393FF0">
        <w:rPr>
          <w:bCs/>
        </w:rPr>
        <w:t xml:space="preserve">and </w:t>
      </w:r>
      <w:hyperlink r:id="rId12" w:history="1">
        <w:r w:rsidRPr="00393FF0">
          <w:rPr>
            <w:rStyle w:val="Hyperlink"/>
            <w:bCs/>
          </w:rPr>
          <w:t>info@juststopoil.org</w:t>
        </w:r>
      </w:hyperlink>
      <w:r w:rsidR="00117224">
        <w:rPr>
          <w:rStyle w:val="FootnoteReference"/>
          <w:bCs/>
          <w:color w:val="0000FF" w:themeColor="hyperlink"/>
          <w:u w:val="single"/>
        </w:rPr>
        <w:footnoteReference w:id="5"/>
      </w:r>
      <w:r w:rsidRPr="00393FF0">
        <w:rPr>
          <w:rStyle w:val="Hyperlink"/>
          <w:bCs/>
        </w:rPr>
        <w:t xml:space="preserve"> </w:t>
      </w:r>
      <w:r w:rsidR="00800761" w:rsidRPr="00393FF0">
        <w:rPr>
          <w:bCs/>
        </w:rPr>
        <w:t>informing them</w:t>
      </w:r>
      <w:r w:rsidR="00800761" w:rsidRPr="00393FF0">
        <w:rPr>
          <w:bCs/>
        </w:rPr>
        <w:t xml:space="preserve"> that the Claimants had made the summary judgment application and where the documents could be accessed</w:t>
      </w:r>
      <w:r w:rsidR="003B718C" w:rsidRPr="00393FF0">
        <w:rPr>
          <w:bCs/>
        </w:rPr>
        <w:t xml:space="preserve">: </w:t>
      </w:r>
      <w:r w:rsidR="00AB6E0B" w:rsidRPr="00393FF0">
        <w:rPr>
          <w:bCs/>
        </w:rPr>
        <w:t xml:space="preserve">First Witness Statement of Antony </w:t>
      </w:r>
      <w:r w:rsidR="003B718C" w:rsidRPr="00393FF0">
        <w:rPr>
          <w:bCs/>
        </w:rPr>
        <w:t>Phillips</w:t>
      </w:r>
      <w:r w:rsidR="00AB6E0B" w:rsidRPr="00393FF0">
        <w:rPr>
          <w:bCs/>
        </w:rPr>
        <w:t>, dated 24 July 2023</w:t>
      </w:r>
      <w:r w:rsidR="001F14C0" w:rsidRPr="00393FF0">
        <w:rPr>
          <w:bCs/>
        </w:rPr>
        <w:t xml:space="preserve"> (“</w:t>
      </w:r>
      <w:r w:rsidR="001F14C0" w:rsidRPr="00393FF0">
        <w:rPr>
          <w:b/>
        </w:rPr>
        <w:t>Phillips</w:t>
      </w:r>
      <w:r w:rsidR="003B718C" w:rsidRPr="00393FF0">
        <w:rPr>
          <w:bCs/>
        </w:rPr>
        <w:t xml:space="preserve"> </w:t>
      </w:r>
      <w:r w:rsidR="003B718C" w:rsidRPr="00393FF0">
        <w:rPr>
          <w:b/>
        </w:rPr>
        <w:t>1</w:t>
      </w:r>
      <w:r w:rsidR="00BC1DD4" w:rsidRPr="00393FF0">
        <w:rPr>
          <w:bCs/>
        </w:rPr>
        <w:t>”)</w:t>
      </w:r>
      <w:r w:rsidR="003B718C" w:rsidRPr="00393FF0">
        <w:rPr>
          <w:bCs/>
        </w:rPr>
        <w:t>, §§5-12</w:t>
      </w:r>
      <w:r w:rsidR="00AA1994" w:rsidRPr="00393FF0">
        <w:rPr>
          <w:bCs/>
        </w:rPr>
        <w:t xml:space="preserve"> </w:t>
      </w:r>
      <w:r w:rsidR="00AA1994" w:rsidRPr="00393FF0">
        <w:rPr>
          <w:b/>
        </w:rPr>
        <w:t>[HB/</w:t>
      </w:r>
      <w:r w:rsidR="004F17E5" w:rsidRPr="00393FF0">
        <w:rPr>
          <w:b/>
        </w:rPr>
        <w:t>232]</w:t>
      </w:r>
      <w:r w:rsidR="003B718C" w:rsidRPr="00393FF0">
        <w:rPr>
          <w:bCs/>
        </w:rPr>
        <w:t>.</w:t>
      </w:r>
      <w:r w:rsidR="004948CB" w:rsidRPr="00393FF0">
        <w:rPr>
          <w:bCs/>
        </w:rPr>
        <w:t xml:space="preserve"> </w:t>
      </w:r>
      <w:r w:rsidR="00641A9C" w:rsidRPr="00393FF0">
        <w:rPr>
          <w:bCs/>
        </w:rPr>
        <w:t xml:space="preserve">These methods satisfied the alternative service requirements set out in paragraph 9 of the Rajah Order and </w:t>
      </w:r>
      <w:r w:rsidR="00B44B3B" w:rsidRPr="00393FF0">
        <w:rPr>
          <w:bCs/>
        </w:rPr>
        <w:t xml:space="preserve">the documents </w:t>
      </w:r>
      <w:r w:rsidR="00641A9C" w:rsidRPr="00393FF0">
        <w:rPr>
          <w:bCs/>
        </w:rPr>
        <w:t xml:space="preserve">were deemed served on </w:t>
      </w:r>
      <w:r w:rsidR="00A37154" w:rsidRPr="00393FF0">
        <w:rPr>
          <w:bCs/>
        </w:rPr>
        <w:t>11</w:t>
      </w:r>
      <w:r w:rsidR="00641A9C" w:rsidRPr="00393FF0">
        <w:rPr>
          <w:bCs/>
        </w:rPr>
        <w:t xml:space="preserve"> July 2023.</w:t>
      </w:r>
      <w:r w:rsidR="009D3202" w:rsidRPr="00393FF0">
        <w:rPr>
          <w:bCs/>
        </w:rPr>
        <w:t xml:space="preserve"> </w:t>
      </w:r>
    </w:p>
    <w:p w14:paraId="5FF45AAD" w14:textId="5601A9C7" w:rsidR="00FB7B88" w:rsidRPr="00393FF0" w:rsidRDefault="00A54184" w:rsidP="00C131EB">
      <w:pPr>
        <w:pStyle w:val="BodyText"/>
        <w:numPr>
          <w:ilvl w:val="0"/>
          <w:numId w:val="15"/>
        </w:numPr>
        <w:spacing w:after="240" w:line="360" w:lineRule="auto"/>
        <w:ind w:left="567" w:hanging="567"/>
        <w:jc w:val="both"/>
        <w:rPr>
          <w:bCs/>
        </w:rPr>
      </w:pPr>
      <w:r w:rsidRPr="00393FF0">
        <w:rPr>
          <w:bCs/>
        </w:rPr>
        <w:t xml:space="preserve">On 18 July 2023, the Claimants </w:t>
      </w:r>
      <w:r w:rsidR="003E5A2E" w:rsidRPr="00393FF0">
        <w:rPr>
          <w:bCs/>
        </w:rPr>
        <w:t>sent an email to</w:t>
      </w:r>
      <w:r w:rsidR="00A3113A" w:rsidRPr="00393FF0">
        <w:rPr>
          <w:bCs/>
        </w:rPr>
        <w:t xml:space="preserve"> </w:t>
      </w:r>
      <w:hyperlink r:id="rId13" w:history="1">
        <w:r w:rsidR="005D0627" w:rsidRPr="00393FF0">
          <w:rPr>
            <w:rStyle w:val="Hyperlink"/>
            <w:bCs/>
          </w:rPr>
          <w:t>xr-legal@riseup.net</w:t>
        </w:r>
      </w:hyperlink>
      <w:r w:rsidR="00A3113A" w:rsidRPr="00393FF0">
        <w:rPr>
          <w:bCs/>
        </w:rPr>
        <w:t>,</w:t>
      </w:r>
      <w:r w:rsidR="006F270B" w:rsidRPr="00393FF0">
        <w:rPr>
          <w:bCs/>
        </w:rPr>
        <w:t xml:space="preserve"> </w:t>
      </w:r>
      <w:hyperlink r:id="rId14" w:history="1">
        <w:r w:rsidR="00393FF0" w:rsidRPr="00393FF0">
          <w:rPr>
            <w:rStyle w:val="Hyperlink"/>
            <w:bCs/>
          </w:rPr>
          <w:t>juststopoilpress@protonmail.com</w:t>
        </w:r>
      </w:hyperlink>
      <w:r w:rsidR="00393FF0" w:rsidRPr="00393FF0">
        <w:rPr>
          <w:bCs/>
        </w:rPr>
        <w:t xml:space="preserve">, </w:t>
      </w:r>
      <w:hyperlink r:id="rId15" w:history="1">
        <w:r w:rsidR="00B21653" w:rsidRPr="00393FF0">
          <w:rPr>
            <w:rStyle w:val="Hyperlink"/>
            <w:bCs/>
          </w:rPr>
          <w:t>juststopoil@protonmail.com</w:t>
        </w:r>
      </w:hyperlink>
      <w:r w:rsidR="003E5A2E" w:rsidRPr="00393FF0">
        <w:rPr>
          <w:bCs/>
        </w:rPr>
        <w:t xml:space="preserve"> </w:t>
      </w:r>
      <w:r w:rsidR="00393FF0" w:rsidRPr="00393FF0">
        <w:rPr>
          <w:bCs/>
        </w:rPr>
        <w:t xml:space="preserve">and </w:t>
      </w:r>
      <w:hyperlink r:id="rId16" w:history="1">
        <w:r w:rsidR="00393FF0" w:rsidRPr="00393FF0">
          <w:rPr>
            <w:rStyle w:val="Hyperlink"/>
            <w:bCs/>
          </w:rPr>
          <w:t>info@juststopoil.org</w:t>
        </w:r>
      </w:hyperlink>
      <w:r w:rsidR="005D1FF3">
        <w:rPr>
          <w:rStyle w:val="FootnoteReference"/>
          <w:bCs/>
          <w:color w:val="0000FF" w:themeColor="hyperlink"/>
          <w:u w:val="single"/>
        </w:rPr>
        <w:footnoteReference w:id="6"/>
      </w:r>
      <w:r w:rsidR="00393FF0" w:rsidRPr="00393FF0">
        <w:rPr>
          <w:rStyle w:val="Hyperlink"/>
          <w:bCs/>
        </w:rPr>
        <w:t xml:space="preserve"> </w:t>
      </w:r>
      <w:r w:rsidR="00B21653" w:rsidRPr="00393FF0">
        <w:rPr>
          <w:bCs/>
        </w:rPr>
        <w:t>confirming that the hearing would take place during a 3-day window starting on 3 October 2023.</w:t>
      </w:r>
      <w:r w:rsidR="003E5A2E" w:rsidRPr="00393FF0">
        <w:rPr>
          <w:bCs/>
        </w:rPr>
        <w:t xml:space="preserve"> The notice of hearing was also uploaded to </w:t>
      </w:r>
      <w:hyperlink r:id="rId17" w:history="1">
        <w:r w:rsidR="00D1689B" w:rsidRPr="00393FF0">
          <w:rPr>
            <w:rStyle w:val="Hyperlink"/>
            <w:bCs/>
          </w:rPr>
          <w:t>https://ukop.azurewebsites.net</w:t>
        </w:r>
      </w:hyperlink>
      <w:r w:rsidR="00641A9C" w:rsidRPr="00393FF0">
        <w:rPr>
          <w:bCs/>
        </w:rPr>
        <w:t xml:space="preserve"> on the same day</w:t>
      </w:r>
      <w:r w:rsidR="00ED0D31" w:rsidRPr="00393FF0">
        <w:rPr>
          <w:bCs/>
        </w:rPr>
        <w:t xml:space="preserve">: Phillips 1, </w:t>
      </w:r>
      <w:r w:rsidR="009505F9" w:rsidRPr="00393FF0">
        <w:rPr>
          <w:bCs/>
        </w:rPr>
        <w:t>§§13-18</w:t>
      </w:r>
      <w:r w:rsidR="009E7DFA" w:rsidRPr="00393FF0">
        <w:rPr>
          <w:bCs/>
        </w:rPr>
        <w:t xml:space="preserve"> </w:t>
      </w:r>
      <w:r w:rsidR="004F17E5" w:rsidRPr="00393FF0">
        <w:rPr>
          <w:b/>
        </w:rPr>
        <w:t>[HB/</w:t>
      </w:r>
      <w:r w:rsidR="00A50203" w:rsidRPr="00393FF0">
        <w:rPr>
          <w:b/>
        </w:rPr>
        <w:t>233</w:t>
      </w:r>
      <w:r w:rsidR="004F17E5" w:rsidRPr="00393FF0">
        <w:rPr>
          <w:b/>
        </w:rPr>
        <w:t>]</w:t>
      </w:r>
      <w:r w:rsidR="009505F9" w:rsidRPr="00393FF0">
        <w:rPr>
          <w:bCs/>
        </w:rPr>
        <w:t>.</w:t>
      </w:r>
      <w:r w:rsidR="00D06813" w:rsidRPr="00393FF0">
        <w:rPr>
          <w:bCs/>
        </w:rPr>
        <w:t xml:space="preserve"> These methods satisfied the alternative service requirements set out in paragraph 9 of the Rajah Order</w:t>
      </w:r>
      <w:r w:rsidR="00641A9C" w:rsidRPr="00393FF0">
        <w:rPr>
          <w:bCs/>
        </w:rPr>
        <w:t xml:space="preserve"> and </w:t>
      </w:r>
      <w:r w:rsidR="00B44B3B" w:rsidRPr="00393FF0">
        <w:rPr>
          <w:bCs/>
        </w:rPr>
        <w:t>the document was</w:t>
      </w:r>
      <w:r w:rsidR="00641A9C" w:rsidRPr="00393FF0">
        <w:rPr>
          <w:bCs/>
        </w:rPr>
        <w:t xml:space="preserve"> deemed served on 18 July 2023</w:t>
      </w:r>
      <w:r w:rsidR="00D06813" w:rsidRPr="00393FF0">
        <w:rPr>
          <w:bCs/>
        </w:rPr>
        <w:t>.</w:t>
      </w:r>
    </w:p>
    <w:p w14:paraId="54E1D517" w14:textId="26AFCC97" w:rsidR="004F185D" w:rsidRPr="004D0CBE" w:rsidRDefault="004F185D" w:rsidP="00C131EB">
      <w:pPr>
        <w:pStyle w:val="BodyText"/>
        <w:numPr>
          <w:ilvl w:val="0"/>
          <w:numId w:val="15"/>
        </w:numPr>
        <w:spacing w:after="240" w:line="360" w:lineRule="auto"/>
        <w:ind w:left="567" w:hanging="567"/>
        <w:jc w:val="both"/>
        <w:rPr>
          <w:bCs/>
        </w:rPr>
      </w:pPr>
      <w:r w:rsidRPr="004D0CBE">
        <w:rPr>
          <w:bCs/>
        </w:rPr>
        <w:t xml:space="preserve">On </w:t>
      </w:r>
      <w:r w:rsidR="00533D24" w:rsidRPr="004D0CBE">
        <w:rPr>
          <w:bCs/>
        </w:rPr>
        <w:t>27</w:t>
      </w:r>
      <w:r w:rsidRPr="004D0CBE">
        <w:rPr>
          <w:bCs/>
        </w:rPr>
        <w:t xml:space="preserve"> September 2023, the</w:t>
      </w:r>
      <w:r w:rsidR="00C57933" w:rsidRPr="004D0CBE">
        <w:rPr>
          <w:bCs/>
        </w:rPr>
        <w:t xml:space="preserve"> bundles for the hearing</w:t>
      </w:r>
      <w:r w:rsidR="00B730CB" w:rsidRPr="004D0CBE">
        <w:rPr>
          <w:bCs/>
        </w:rPr>
        <w:t xml:space="preserve">, including Armstrong 5, were uploaded to </w:t>
      </w:r>
      <w:hyperlink r:id="rId18" w:history="1">
        <w:r w:rsidR="008B10A6" w:rsidRPr="004D0CBE">
          <w:rPr>
            <w:rStyle w:val="Hyperlink"/>
            <w:bCs/>
          </w:rPr>
          <w:t>https://ukop.azurewebsites.net</w:t>
        </w:r>
      </w:hyperlink>
      <w:r w:rsidR="008B10A6" w:rsidRPr="004D0CBE">
        <w:rPr>
          <w:bCs/>
        </w:rPr>
        <w:t>.</w:t>
      </w:r>
      <w:r w:rsidR="004D0CBE" w:rsidRPr="004D0CBE">
        <w:rPr>
          <w:bCs/>
        </w:rPr>
        <w:t xml:space="preserve"> An email was sent on 28 September 2023 to </w:t>
      </w:r>
      <w:hyperlink r:id="rId19" w:history="1">
        <w:r w:rsidR="008370E8" w:rsidRPr="004D0CBE">
          <w:rPr>
            <w:rStyle w:val="Hyperlink"/>
            <w:bCs/>
          </w:rPr>
          <w:t>xr-legal@riseup.net</w:t>
        </w:r>
      </w:hyperlink>
      <w:r w:rsidR="008370E8" w:rsidRPr="004D0CBE">
        <w:rPr>
          <w:bCs/>
        </w:rPr>
        <w:t>,</w:t>
      </w:r>
      <w:r w:rsidR="00BE739F">
        <w:rPr>
          <w:bCs/>
        </w:rPr>
        <w:t xml:space="preserve"> </w:t>
      </w:r>
      <w:hyperlink r:id="rId20" w:history="1">
        <w:r w:rsidR="008370E8" w:rsidRPr="004D0CBE">
          <w:rPr>
            <w:rStyle w:val="Hyperlink"/>
            <w:bCs/>
          </w:rPr>
          <w:t>juststopoilpress@protonmail.com</w:t>
        </w:r>
      </w:hyperlink>
      <w:r w:rsidR="008370E8" w:rsidRPr="004D0CBE">
        <w:rPr>
          <w:bCs/>
        </w:rPr>
        <w:t xml:space="preserve">, </w:t>
      </w:r>
      <w:hyperlink r:id="rId21" w:history="1">
        <w:r w:rsidR="008370E8" w:rsidRPr="003A5DFF">
          <w:rPr>
            <w:rStyle w:val="Hyperlink"/>
            <w:bCs/>
          </w:rPr>
          <w:t>juststopoil@protonmail.com</w:t>
        </w:r>
      </w:hyperlink>
      <w:r w:rsidR="008370E8" w:rsidRPr="004D0CBE">
        <w:rPr>
          <w:bCs/>
        </w:rPr>
        <w:t xml:space="preserve"> </w:t>
      </w:r>
      <w:r w:rsidR="0093031A">
        <w:rPr>
          <w:bCs/>
        </w:rPr>
        <w:t xml:space="preserve">and </w:t>
      </w:r>
      <w:hyperlink r:id="rId22" w:history="1">
        <w:r w:rsidR="0093031A" w:rsidRPr="008B3C40">
          <w:rPr>
            <w:rStyle w:val="Hyperlink"/>
            <w:bCs/>
          </w:rPr>
          <w:t>info@juststopoil.org</w:t>
        </w:r>
      </w:hyperlink>
      <w:r w:rsidR="0093031A">
        <w:rPr>
          <w:bCs/>
        </w:rPr>
        <w:t xml:space="preserve"> informing them that the hearing </w:t>
      </w:r>
      <w:r w:rsidR="00382CAA">
        <w:rPr>
          <w:bCs/>
        </w:rPr>
        <w:t xml:space="preserve">and exhibit </w:t>
      </w:r>
      <w:r w:rsidR="0093031A">
        <w:rPr>
          <w:bCs/>
        </w:rPr>
        <w:t>bundles</w:t>
      </w:r>
      <w:r w:rsidR="00382CAA">
        <w:rPr>
          <w:bCs/>
        </w:rPr>
        <w:t>, including Armstrong 5,</w:t>
      </w:r>
      <w:r w:rsidR="0093031A">
        <w:rPr>
          <w:bCs/>
        </w:rPr>
        <w:t xml:space="preserve"> </w:t>
      </w:r>
      <w:r w:rsidR="00382CAA">
        <w:rPr>
          <w:bCs/>
        </w:rPr>
        <w:t xml:space="preserve">could be accessed from this website. </w:t>
      </w:r>
      <w:r w:rsidR="00F966D3" w:rsidRPr="00F966D3">
        <w:rPr>
          <w:bCs/>
        </w:rPr>
        <w:t>These methods satisfied the alternative service requirements set out in paragraph 9 of the Rajah Order and the documents were deemed served on 28 September 2023.</w:t>
      </w:r>
      <w:r w:rsidR="0093031A">
        <w:rPr>
          <w:bCs/>
        </w:rPr>
        <w:t xml:space="preserve">  </w:t>
      </w:r>
    </w:p>
    <w:p w14:paraId="58C44488" w14:textId="5FBBDF6F" w:rsidR="00E83F2C" w:rsidRPr="00E83F2C" w:rsidRDefault="00FB7B88" w:rsidP="00C131EB">
      <w:pPr>
        <w:pStyle w:val="BodyText"/>
        <w:numPr>
          <w:ilvl w:val="0"/>
          <w:numId w:val="15"/>
        </w:numPr>
        <w:spacing w:after="240" w:line="360" w:lineRule="auto"/>
        <w:ind w:left="567" w:hanging="567"/>
        <w:jc w:val="both"/>
        <w:rPr>
          <w:bCs/>
        </w:rPr>
      </w:pPr>
      <w:r>
        <w:rPr>
          <w:bCs/>
        </w:rPr>
        <w:t xml:space="preserve">Consequently, the </w:t>
      </w:r>
      <w:r w:rsidR="00C140F8">
        <w:rPr>
          <w:bCs/>
        </w:rPr>
        <w:t xml:space="preserve">notice </w:t>
      </w:r>
      <w:r w:rsidR="00FB6F1F">
        <w:rPr>
          <w:bCs/>
        </w:rPr>
        <w:t>requirements in s.12(2)</w:t>
      </w:r>
      <w:r w:rsidR="00B23801">
        <w:rPr>
          <w:bCs/>
        </w:rPr>
        <w:t>(a)</w:t>
      </w:r>
      <w:r w:rsidR="00FB6F1F">
        <w:rPr>
          <w:bCs/>
        </w:rPr>
        <w:t xml:space="preserve"> of the Human Rights Act 1998</w:t>
      </w:r>
      <w:r w:rsidR="005D0627">
        <w:rPr>
          <w:rStyle w:val="FootnoteReference"/>
          <w:bCs/>
        </w:rPr>
        <w:footnoteReference w:id="7"/>
      </w:r>
      <w:r w:rsidR="00FB6F1F">
        <w:rPr>
          <w:bCs/>
        </w:rPr>
        <w:t xml:space="preserve"> and </w:t>
      </w:r>
      <w:r w:rsidR="00E53B9E">
        <w:rPr>
          <w:bCs/>
        </w:rPr>
        <w:t>t</w:t>
      </w:r>
      <w:r w:rsidR="00FB6F1F">
        <w:rPr>
          <w:bCs/>
        </w:rPr>
        <w:t xml:space="preserve">he </w:t>
      </w:r>
      <w:r w:rsidR="00E53B9E">
        <w:rPr>
          <w:bCs/>
        </w:rPr>
        <w:t>service requirements in CPR r.24.4(3)</w:t>
      </w:r>
      <w:r w:rsidR="00B23801">
        <w:rPr>
          <w:rStyle w:val="FootnoteReference"/>
          <w:bCs/>
        </w:rPr>
        <w:footnoteReference w:id="8"/>
      </w:r>
      <w:r w:rsidR="00E53B9E">
        <w:rPr>
          <w:bCs/>
        </w:rPr>
        <w:t xml:space="preserve"> have been satisfied.</w:t>
      </w:r>
      <w:r w:rsidR="00D06813">
        <w:rPr>
          <w:bCs/>
        </w:rPr>
        <w:t xml:space="preserve"> </w:t>
      </w:r>
      <w:r w:rsidR="00D1689B">
        <w:rPr>
          <w:bCs/>
        </w:rPr>
        <w:t xml:space="preserve"> </w:t>
      </w:r>
      <w:r w:rsidR="00B21653">
        <w:rPr>
          <w:bCs/>
        </w:rPr>
        <w:t xml:space="preserve"> </w:t>
      </w:r>
    </w:p>
    <w:p w14:paraId="49A58091" w14:textId="17B838AB" w:rsidR="00BB57FF" w:rsidRPr="00083184" w:rsidRDefault="001E19E7" w:rsidP="008A0D37">
      <w:pPr>
        <w:pStyle w:val="BodyText"/>
        <w:numPr>
          <w:ilvl w:val="0"/>
          <w:numId w:val="18"/>
        </w:numPr>
        <w:spacing w:after="240" w:line="360" w:lineRule="auto"/>
        <w:ind w:left="567" w:hanging="567"/>
        <w:jc w:val="both"/>
        <w:rPr>
          <w:b/>
        </w:rPr>
      </w:pPr>
      <w:r w:rsidRPr="00083184">
        <w:rPr>
          <w:b/>
        </w:rPr>
        <w:lastRenderedPageBreak/>
        <w:t>BACKGROUND</w:t>
      </w:r>
    </w:p>
    <w:p w14:paraId="5B662096" w14:textId="46FBCD93" w:rsidR="004203BC" w:rsidRPr="004203BC" w:rsidRDefault="004203BC" w:rsidP="004203BC">
      <w:pPr>
        <w:pStyle w:val="BodyText"/>
        <w:numPr>
          <w:ilvl w:val="0"/>
          <w:numId w:val="19"/>
        </w:numPr>
        <w:spacing w:after="240" w:line="360" w:lineRule="auto"/>
        <w:ind w:left="1134" w:hanging="567"/>
        <w:jc w:val="both"/>
        <w:rPr>
          <w:b/>
        </w:rPr>
      </w:pPr>
      <w:r>
        <w:rPr>
          <w:b/>
        </w:rPr>
        <w:t>The Sites</w:t>
      </w:r>
    </w:p>
    <w:p w14:paraId="49A580A4" w14:textId="27EA2857" w:rsidR="00BB57FF" w:rsidRPr="00083184" w:rsidRDefault="007A347F" w:rsidP="002042D2">
      <w:pPr>
        <w:pStyle w:val="BodyText"/>
        <w:numPr>
          <w:ilvl w:val="0"/>
          <w:numId w:val="15"/>
        </w:numPr>
        <w:spacing w:after="240" w:line="360" w:lineRule="auto"/>
        <w:ind w:left="567" w:hanging="567"/>
        <w:jc w:val="both"/>
        <w:rPr>
          <w:bCs/>
        </w:rPr>
      </w:pPr>
      <w:r>
        <w:t>This application</w:t>
      </w:r>
      <w:r w:rsidR="001474D2" w:rsidRPr="00083184">
        <w:rPr>
          <w:spacing w:val="-14"/>
        </w:rPr>
        <w:t xml:space="preserve"> </w:t>
      </w:r>
      <w:r w:rsidR="001474D2" w:rsidRPr="00083184">
        <w:t>relates</w:t>
      </w:r>
      <w:r w:rsidR="001474D2" w:rsidRPr="00083184">
        <w:rPr>
          <w:spacing w:val="-13"/>
        </w:rPr>
        <w:t xml:space="preserve"> </w:t>
      </w:r>
      <w:r w:rsidR="001474D2" w:rsidRPr="00083184">
        <w:t>to</w:t>
      </w:r>
      <w:r w:rsidR="001474D2" w:rsidRPr="00083184">
        <w:rPr>
          <w:spacing w:val="-13"/>
        </w:rPr>
        <w:t xml:space="preserve"> </w:t>
      </w:r>
      <w:r w:rsidR="001474D2" w:rsidRPr="00083184">
        <w:t>two</w:t>
      </w:r>
      <w:r w:rsidR="001474D2" w:rsidRPr="00083184">
        <w:rPr>
          <w:spacing w:val="-12"/>
        </w:rPr>
        <w:t xml:space="preserve"> </w:t>
      </w:r>
      <w:r w:rsidR="001474D2" w:rsidRPr="00083184">
        <w:t>sites</w:t>
      </w:r>
      <w:r w:rsidR="0006355A">
        <w:t xml:space="preserve"> (the “</w:t>
      </w:r>
      <w:r w:rsidR="0006355A" w:rsidRPr="007A347F">
        <w:rPr>
          <w:b/>
          <w:bCs/>
        </w:rPr>
        <w:t>Sites</w:t>
      </w:r>
      <w:r w:rsidR="0006355A">
        <w:t>”)</w:t>
      </w:r>
      <w:r w:rsidR="003075B0" w:rsidRPr="00083184">
        <w:t>:</w:t>
      </w:r>
    </w:p>
    <w:p w14:paraId="6223E6A5" w14:textId="50CFD669" w:rsidR="00735033" w:rsidRPr="00083184" w:rsidRDefault="003075B0" w:rsidP="002042D2">
      <w:pPr>
        <w:pStyle w:val="BodyText"/>
        <w:numPr>
          <w:ilvl w:val="0"/>
          <w:numId w:val="16"/>
        </w:numPr>
        <w:spacing w:after="240" w:line="360" w:lineRule="auto"/>
        <w:ind w:left="1701" w:hanging="567"/>
        <w:jc w:val="both"/>
        <w:rPr>
          <w:bCs/>
        </w:rPr>
      </w:pPr>
      <w:r w:rsidRPr="00083184">
        <w:rPr>
          <w:u w:val="single"/>
        </w:rPr>
        <w:t>Site 1</w:t>
      </w:r>
      <w:r w:rsidRPr="00083184">
        <w:t xml:space="preserve">: </w:t>
      </w:r>
      <w:r w:rsidR="001474D2" w:rsidRPr="00083184">
        <w:t>This is the West London Buncefield oil terminal, located on the edge of Hemel Hempstead.</w:t>
      </w:r>
      <w:r w:rsidR="001474D2" w:rsidRPr="00083184">
        <w:rPr>
          <w:spacing w:val="-1"/>
        </w:rPr>
        <w:t xml:space="preserve"> </w:t>
      </w:r>
      <w:r w:rsidR="001474D2" w:rsidRPr="00083184">
        <w:t>The</w:t>
      </w:r>
      <w:r w:rsidR="001474D2" w:rsidRPr="00083184">
        <w:rPr>
          <w:spacing w:val="-2"/>
        </w:rPr>
        <w:t xml:space="preserve"> </w:t>
      </w:r>
      <w:r w:rsidR="001474D2" w:rsidRPr="00083184">
        <w:t>site</w:t>
      </w:r>
      <w:r w:rsidR="001474D2" w:rsidRPr="00083184">
        <w:rPr>
          <w:spacing w:val="-2"/>
        </w:rPr>
        <w:t xml:space="preserve"> </w:t>
      </w:r>
      <w:r w:rsidR="001474D2" w:rsidRPr="00083184">
        <w:t>is</w:t>
      </w:r>
      <w:r w:rsidR="001474D2" w:rsidRPr="00083184">
        <w:rPr>
          <w:spacing w:val="-1"/>
        </w:rPr>
        <w:t xml:space="preserve"> </w:t>
      </w:r>
      <w:r w:rsidR="001474D2" w:rsidRPr="00083184">
        <w:t>one</w:t>
      </w:r>
      <w:r w:rsidR="001474D2" w:rsidRPr="00083184">
        <w:rPr>
          <w:spacing w:val="-2"/>
        </w:rPr>
        <w:t xml:space="preserve"> </w:t>
      </w:r>
      <w:r w:rsidR="001474D2" w:rsidRPr="00083184">
        <w:t>of</w:t>
      </w:r>
      <w:r w:rsidR="001474D2" w:rsidRPr="00083184">
        <w:rPr>
          <w:spacing w:val="-2"/>
        </w:rPr>
        <w:t xml:space="preserve"> </w:t>
      </w:r>
      <w:r w:rsidR="001474D2" w:rsidRPr="00083184">
        <w:t>the</w:t>
      </w:r>
      <w:r w:rsidR="001474D2" w:rsidRPr="00083184">
        <w:rPr>
          <w:spacing w:val="-2"/>
        </w:rPr>
        <w:t xml:space="preserve"> </w:t>
      </w:r>
      <w:r w:rsidR="001474D2" w:rsidRPr="00083184">
        <w:t>largest</w:t>
      </w:r>
      <w:r w:rsidR="001474D2" w:rsidRPr="00083184">
        <w:rPr>
          <w:spacing w:val="-1"/>
        </w:rPr>
        <w:t xml:space="preserve"> </w:t>
      </w:r>
      <w:r w:rsidR="001474D2" w:rsidRPr="00083184">
        <w:t>oil-products</w:t>
      </w:r>
      <w:r w:rsidR="001474D2" w:rsidRPr="00083184">
        <w:rPr>
          <w:spacing w:val="-1"/>
        </w:rPr>
        <w:t xml:space="preserve"> </w:t>
      </w:r>
      <w:r w:rsidR="001474D2" w:rsidRPr="00083184">
        <w:t>storage</w:t>
      </w:r>
      <w:r w:rsidR="001474D2" w:rsidRPr="00083184">
        <w:rPr>
          <w:spacing w:val="-2"/>
        </w:rPr>
        <w:t xml:space="preserve"> </w:t>
      </w:r>
      <w:r w:rsidR="001474D2" w:rsidRPr="00083184">
        <w:t>depots</w:t>
      </w:r>
      <w:r w:rsidR="001474D2" w:rsidRPr="00083184">
        <w:rPr>
          <w:spacing w:val="-1"/>
        </w:rPr>
        <w:t xml:space="preserve"> </w:t>
      </w:r>
      <w:r w:rsidR="001474D2" w:rsidRPr="00083184">
        <w:t>in</w:t>
      </w:r>
      <w:r w:rsidR="001474D2" w:rsidRPr="00083184">
        <w:rPr>
          <w:spacing w:val="-1"/>
        </w:rPr>
        <w:t xml:space="preserve"> </w:t>
      </w:r>
      <w:r w:rsidR="001474D2" w:rsidRPr="00083184">
        <w:t>the</w:t>
      </w:r>
      <w:r w:rsidR="001474D2" w:rsidRPr="00083184">
        <w:rPr>
          <w:spacing w:val="-4"/>
        </w:rPr>
        <w:t xml:space="preserve"> </w:t>
      </w:r>
      <w:r w:rsidR="001474D2" w:rsidRPr="00083184">
        <w:t>UK,</w:t>
      </w:r>
      <w:r w:rsidR="001474D2" w:rsidRPr="00083184">
        <w:rPr>
          <w:spacing w:val="-1"/>
        </w:rPr>
        <w:t xml:space="preserve"> </w:t>
      </w:r>
      <w:r w:rsidR="001474D2" w:rsidRPr="00083184">
        <w:t>with</w:t>
      </w:r>
      <w:r w:rsidR="001474D2" w:rsidRPr="00083184">
        <w:rPr>
          <w:spacing w:val="-1"/>
        </w:rPr>
        <w:t xml:space="preserve"> </w:t>
      </w:r>
      <w:r w:rsidR="001474D2" w:rsidRPr="00083184">
        <w:t>a capacity of</w:t>
      </w:r>
      <w:r w:rsidR="001474D2" w:rsidRPr="00083184">
        <w:rPr>
          <w:spacing w:val="-1"/>
        </w:rPr>
        <w:t xml:space="preserve"> </w:t>
      </w:r>
      <w:r w:rsidR="001474D2" w:rsidRPr="00083184">
        <w:t>about 65 million litres of</w:t>
      </w:r>
      <w:r w:rsidR="001474D2" w:rsidRPr="00083184">
        <w:rPr>
          <w:spacing w:val="-1"/>
        </w:rPr>
        <w:t xml:space="preserve"> </w:t>
      </w:r>
      <w:r w:rsidR="001474D2" w:rsidRPr="00083184">
        <w:t>fuel. Details are</w:t>
      </w:r>
      <w:r w:rsidR="001474D2" w:rsidRPr="00083184">
        <w:rPr>
          <w:spacing w:val="-1"/>
        </w:rPr>
        <w:t xml:space="preserve"> </w:t>
      </w:r>
      <w:r w:rsidR="001474D2" w:rsidRPr="00083184">
        <w:t xml:space="preserve">set out in the </w:t>
      </w:r>
      <w:r w:rsidR="00D61BCE">
        <w:t xml:space="preserve">First </w:t>
      </w:r>
      <w:r w:rsidR="001474D2" w:rsidRPr="00083184">
        <w:t>Witness Statement of Peter Davis dated 7 April 2022</w:t>
      </w:r>
      <w:r w:rsidR="00D61BCE">
        <w:t xml:space="preserve"> (“</w:t>
      </w:r>
      <w:r w:rsidR="00D61BCE">
        <w:rPr>
          <w:b/>
          <w:bCs/>
        </w:rPr>
        <w:t>Davis 1</w:t>
      </w:r>
      <w:r w:rsidR="00D61BCE">
        <w:t>”)</w:t>
      </w:r>
      <w:r w:rsidR="005619B3">
        <w:t>, §§</w:t>
      </w:r>
      <w:r w:rsidR="005619B3" w:rsidRPr="00083184">
        <w:t>15</w:t>
      </w:r>
      <w:r w:rsidR="005619B3">
        <w:t>-</w:t>
      </w:r>
      <w:r w:rsidR="005619B3" w:rsidRPr="00083184">
        <w:t>18</w:t>
      </w:r>
      <w:r w:rsidR="00AF295B">
        <w:t xml:space="preserve"> </w:t>
      </w:r>
      <w:r w:rsidR="00AF295B" w:rsidRPr="00083184">
        <w:rPr>
          <w:b/>
        </w:rPr>
        <w:t>[</w:t>
      </w:r>
      <w:r w:rsidR="00A50203">
        <w:rPr>
          <w:b/>
        </w:rPr>
        <w:t>HB/</w:t>
      </w:r>
      <w:r w:rsidR="006B09E4">
        <w:rPr>
          <w:b/>
        </w:rPr>
        <w:t>162</w:t>
      </w:r>
      <w:r w:rsidR="00AF295B" w:rsidRPr="00083184">
        <w:rPr>
          <w:b/>
        </w:rPr>
        <w:t>]</w:t>
      </w:r>
      <w:r w:rsidR="001474D2" w:rsidRPr="00083184">
        <w:t>.</w:t>
      </w:r>
    </w:p>
    <w:p w14:paraId="49A580A9" w14:textId="3B47CCAB" w:rsidR="00BB57FF" w:rsidRPr="00083184" w:rsidRDefault="001474D2" w:rsidP="002042D2">
      <w:pPr>
        <w:pStyle w:val="BodyText"/>
        <w:spacing w:after="240" w:line="360" w:lineRule="auto"/>
        <w:ind w:left="1701"/>
        <w:jc w:val="both"/>
      </w:pPr>
      <w:r w:rsidRPr="00083184">
        <w:t xml:space="preserve">In relation to the relevant property interests pertaining to Site 1, the First Claimant is the registered proprietor of three registered freehold titles, the registered proprietor of one leasehold title and also has a leasehold right of way over an access track. The Second Claimant is the registered proprietor of a further freehold title. Details are set out in </w:t>
      </w:r>
      <w:r w:rsidR="005E79E5">
        <w:t>Davis 1, §§</w:t>
      </w:r>
      <w:r w:rsidRPr="00083184">
        <w:t>24</w:t>
      </w:r>
      <w:r w:rsidR="005E79E5">
        <w:t>-</w:t>
      </w:r>
      <w:r w:rsidRPr="00083184">
        <w:t>28</w:t>
      </w:r>
      <w:r w:rsidR="00AF295B">
        <w:t xml:space="preserve"> </w:t>
      </w:r>
      <w:r w:rsidR="00AF295B" w:rsidRPr="00083184">
        <w:rPr>
          <w:b/>
        </w:rPr>
        <w:t>[</w:t>
      </w:r>
      <w:r w:rsidR="006413D0">
        <w:rPr>
          <w:b/>
        </w:rPr>
        <w:t>HB/163</w:t>
      </w:r>
      <w:r w:rsidR="00AF295B" w:rsidRPr="00083184">
        <w:rPr>
          <w:b/>
        </w:rPr>
        <w:t>]</w:t>
      </w:r>
      <w:r w:rsidRPr="00083184">
        <w:t>.</w:t>
      </w:r>
    </w:p>
    <w:p w14:paraId="4D97136C" w14:textId="4DE1D0DD" w:rsidR="00B41207" w:rsidRPr="00EE5CF3" w:rsidRDefault="00A06D57" w:rsidP="002042D2">
      <w:pPr>
        <w:pStyle w:val="BodyText"/>
        <w:spacing w:after="240" w:line="360" w:lineRule="auto"/>
        <w:ind w:left="1701"/>
        <w:jc w:val="both"/>
      </w:pPr>
      <w:r>
        <w:t>This</w:t>
      </w:r>
      <w:r w:rsidR="00CC37A5">
        <w:t xml:space="preserve"> private</w:t>
      </w:r>
      <w:r w:rsidR="00EE5CF3">
        <w:t xml:space="preserve"> access track </w:t>
      </w:r>
      <w:r w:rsidR="005A66DA">
        <w:t xml:space="preserve">on land adjoining Site 1 </w:t>
      </w:r>
      <w:r w:rsidR="00EE5CF3">
        <w:t>leading from the public highway to Site 1</w:t>
      </w:r>
      <w:r>
        <w:t xml:space="preserve"> is referred to as </w:t>
      </w:r>
      <w:r w:rsidR="00EE5CF3">
        <w:t>the “</w:t>
      </w:r>
      <w:r w:rsidR="00EE5CF3">
        <w:rPr>
          <w:b/>
          <w:bCs/>
        </w:rPr>
        <w:t>Site 1 Access Route</w:t>
      </w:r>
      <w:r w:rsidR="00EE5CF3">
        <w:t>”</w:t>
      </w:r>
      <w:r w:rsidR="005A66DA">
        <w:t>.</w:t>
      </w:r>
    </w:p>
    <w:p w14:paraId="2540633C" w14:textId="0F907B6B" w:rsidR="00AB2DF1" w:rsidRPr="00083184" w:rsidRDefault="00AB2DF1" w:rsidP="002042D2">
      <w:pPr>
        <w:pStyle w:val="BodyText"/>
        <w:spacing w:after="240" w:line="360" w:lineRule="auto"/>
        <w:ind w:left="1701"/>
        <w:jc w:val="both"/>
        <w:rPr>
          <w:b/>
          <w:bCs/>
        </w:rPr>
      </w:pPr>
      <w:r w:rsidRPr="00083184">
        <w:t>A plan for Site 1</w:t>
      </w:r>
      <w:r w:rsidR="00EE5CF3">
        <w:t xml:space="preserve"> and the Site 1 Access Route</w:t>
      </w:r>
      <w:r w:rsidRPr="00083184">
        <w:t xml:space="preserve"> can be found at</w:t>
      </w:r>
      <w:r w:rsidR="00AF295B">
        <w:t xml:space="preserve"> </w:t>
      </w:r>
      <w:r w:rsidR="00AF295B" w:rsidRPr="00083184">
        <w:rPr>
          <w:b/>
          <w:bCs/>
          <w:spacing w:val="-1"/>
        </w:rPr>
        <w:t>[</w:t>
      </w:r>
      <w:r w:rsidR="000B6CF7">
        <w:rPr>
          <w:b/>
          <w:bCs/>
          <w:spacing w:val="-1"/>
        </w:rPr>
        <w:t>HB/11</w:t>
      </w:r>
      <w:r w:rsidR="00AF295B" w:rsidRPr="00083184">
        <w:rPr>
          <w:b/>
          <w:spacing w:val="-2"/>
        </w:rPr>
        <w:t>]</w:t>
      </w:r>
      <w:r w:rsidRPr="00083184">
        <w:rPr>
          <w:b/>
          <w:bCs/>
        </w:rPr>
        <w:t>.</w:t>
      </w:r>
    </w:p>
    <w:p w14:paraId="0CB1E8EC" w14:textId="4C9E7104" w:rsidR="00735033" w:rsidRPr="00083184" w:rsidRDefault="00735033" w:rsidP="002042D2">
      <w:pPr>
        <w:pStyle w:val="BodyText"/>
        <w:numPr>
          <w:ilvl w:val="0"/>
          <w:numId w:val="16"/>
        </w:numPr>
        <w:spacing w:before="60" w:after="240" w:line="360" w:lineRule="auto"/>
        <w:ind w:left="1701" w:right="120" w:hanging="567"/>
        <w:jc w:val="both"/>
      </w:pPr>
      <w:r w:rsidRPr="00083184">
        <w:rPr>
          <w:bCs/>
          <w:u w:val="single"/>
        </w:rPr>
        <w:t>Site 2</w:t>
      </w:r>
      <w:r w:rsidRPr="00083184">
        <w:rPr>
          <w:bCs/>
        </w:rPr>
        <w:t xml:space="preserve">: </w:t>
      </w:r>
      <w:r w:rsidR="001474D2" w:rsidRPr="00083184">
        <w:t>This is the Kingsbury Oil Terminal, an oil storage depot located on the north-east of village</w:t>
      </w:r>
      <w:r w:rsidR="001474D2" w:rsidRPr="00083184">
        <w:rPr>
          <w:spacing w:val="-4"/>
        </w:rPr>
        <w:t xml:space="preserve"> </w:t>
      </w:r>
      <w:r w:rsidR="001474D2" w:rsidRPr="00083184">
        <w:t>of</w:t>
      </w:r>
      <w:r w:rsidR="001474D2" w:rsidRPr="00083184">
        <w:rPr>
          <w:spacing w:val="-4"/>
        </w:rPr>
        <w:t xml:space="preserve"> </w:t>
      </w:r>
      <w:r w:rsidR="001474D2" w:rsidRPr="00083184">
        <w:t>Kingsbury</w:t>
      </w:r>
      <w:r w:rsidR="001474D2" w:rsidRPr="00083184">
        <w:rPr>
          <w:spacing w:val="-3"/>
        </w:rPr>
        <w:t xml:space="preserve"> </w:t>
      </w:r>
      <w:r w:rsidR="001474D2" w:rsidRPr="00083184">
        <w:t>in</w:t>
      </w:r>
      <w:r w:rsidR="001474D2" w:rsidRPr="00083184">
        <w:rPr>
          <w:spacing w:val="-3"/>
        </w:rPr>
        <w:t xml:space="preserve"> </w:t>
      </w:r>
      <w:r w:rsidR="001474D2" w:rsidRPr="00083184">
        <w:t>Warwickshire,</w:t>
      </w:r>
      <w:r w:rsidR="001474D2" w:rsidRPr="00083184">
        <w:rPr>
          <w:spacing w:val="-3"/>
        </w:rPr>
        <w:t xml:space="preserve"> </w:t>
      </w:r>
      <w:r w:rsidR="001474D2" w:rsidRPr="00083184">
        <w:t>which</w:t>
      </w:r>
      <w:r w:rsidR="001474D2" w:rsidRPr="00083184">
        <w:rPr>
          <w:spacing w:val="-3"/>
        </w:rPr>
        <w:t xml:space="preserve"> </w:t>
      </w:r>
      <w:r w:rsidR="001474D2" w:rsidRPr="00083184">
        <w:t>is</w:t>
      </w:r>
      <w:r w:rsidR="001474D2" w:rsidRPr="00083184">
        <w:rPr>
          <w:spacing w:val="-3"/>
        </w:rPr>
        <w:t xml:space="preserve"> </w:t>
      </w:r>
      <w:r w:rsidR="001474D2" w:rsidRPr="00083184">
        <w:t>of</w:t>
      </w:r>
      <w:r w:rsidR="001474D2" w:rsidRPr="00083184">
        <w:rPr>
          <w:spacing w:val="-4"/>
        </w:rPr>
        <w:t xml:space="preserve"> </w:t>
      </w:r>
      <w:r w:rsidR="001474D2" w:rsidRPr="00083184">
        <w:t>key</w:t>
      </w:r>
      <w:r w:rsidR="001474D2" w:rsidRPr="00083184">
        <w:rPr>
          <w:spacing w:val="-3"/>
        </w:rPr>
        <w:t xml:space="preserve"> </w:t>
      </w:r>
      <w:r w:rsidR="001474D2" w:rsidRPr="00083184">
        <w:t>strategic</w:t>
      </w:r>
      <w:r w:rsidR="001474D2" w:rsidRPr="00083184">
        <w:rPr>
          <w:spacing w:val="-4"/>
        </w:rPr>
        <w:t xml:space="preserve"> </w:t>
      </w:r>
      <w:r w:rsidR="001474D2" w:rsidRPr="00083184">
        <w:t>importance</w:t>
      </w:r>
      <w:r w:rsidR="001474D2" w:rsidRPr="00083184">
        <w:rPr>
          <w:spacing w:val="-4"/>
        </w:rPr>
        <w:t xml:space="preserve"> </w:t>
      </w:r>
      <w:r w:rsidR="001474D2" w:rsidRPr="00083184">
        <w:t>in</w:t>
      </w:r>
      <w:r w:rsidR="001474D2" w:rsidRPr="00083184">
        <w:rPr>
          <w:spacing w:val="-3"/>
        </w:rPr>
        <w:t xml:space="preserve"> </w:t>
      </w:r>
      <w:r w:rsidR="001474D2" w:rsidRPr="00083184">
        <w:t>the</w:t>
      </w:r>
      <w:r w:rsidR="001474D2" w:rsidRPr="00083184">
        <w:rPr>
          <w:spacing w:val="-4"/>
        </w:rPr>
        <w:t xml:space="preserve"> </w:t>
      </w:r>
      <w:r w:rsidR="001474D2" w:rsidRPr="00083184">
        <w:t>UK</w:t>
      </w:r>
      <w:r w:rsidRPr="00083184">
        <w:t xml:space="preserve">. </w:t>
      </w:r>
      <w:r w:rsidR="001474D2" w:rsidRPr="00083184">
        <w:t xml:space="preserve">Details are set out in </w:t>
      </w:r>
      <w:r w:rsidR="00BD440D">
        <w:t>Davis 1, §§</w:t>
      </w:r>
      <w:r w:rsidR="001474D2" w:rsidRPr="00083184">
        <w:t>20</w:t>
      </w:r>
      <w:r w:rsidR="00BD440D">
        <w:t>-</w:t>
      </w:r>
      <w:r w:rsidR="001474D2" w:rsidRPr="00083184">
        <w:t>21</w:t>
      </w:r>
      <w:r w:rsidR="00BD440D">
        <w:t xml:space="preserve"> </w:t>
      </w:r>
      <w:r w:rsidR="00AF295B" w:rsidRPr="00083184">
        <w:rPr>
          <w:b/>
        </w:rPr>
        <w:t>[</w:t>
      </w:r>
      <w:r w:rsidR="006413D0">
        <w:rPr>
          <w:b/>
        </w:rPr>
        <w:t>HB/</w:t>
      </w:r>
      <w:r w:rsidR="004548AD">
        <w:rPr>
          <w:b/>
        </w:rPr>
        <w:t>162</w:t>
      </w:r>
      <w:r w:rsidR="00AF295B" w:rsidRPr="00083184">
        <w:rPr>
          <w:b/>
        </w:rPr>
        <w:t>]</w:t>
      </w:r>
      <w:r w:rsidR="001474D2" w:rsidRPr="00083184">
        <w:t>.</w:t>
      </w:r>
    </w:p>
    <w:p w14:paraId="5A5554B8" w14:textId="688DA1B1" w:rsidR="00AB2DF1" w:rsidRDefault="001474D2" w:rsidP="002042D2">
      <w:pPr>
        <w:pStyle w:val="BodyText"/>
        <w:spacing w:before="60" w:after="240" w:line="360" w:lineRule="auto"/>
        <w:ind w:left="1701" w:right="120"/>
        <w:jc w:val="both"/>
      </w:pPr>
      <w:r w:rsidRPr="00083184">
        <w:t>In relation to the relevant property interests pertaining to Site 2, the First Claimant is the</w:t>
      </w:r>
      <w:r w:rsidRPr="00083184">
        <w:rPr>
          <w:spacing w:val="-1"/>
        </w:rPr>
        <w:t xml:space="preserve"> </w:t>
      </w:r>
      <w:r w:rsidRPr="00083184">
        <w:t>freehold proprietor</w:t>
      </w:r>
      <w:r w:rsidRPr="00083184">
        <w:rPr>
          <w:spacing w:val="-1"/>
        </w:rPr>
        <w:t xml:space="preserve"> </w:t>
      </w:r>
      <w:r w:rsidRPr="00083184">
        <w:t>of an area</w:t>
      </w:r>
      <w:r w:rsidRPr="00083184">
        <w:rPr>
          <w:spacing w:val="-1"/>
        </w:rPr>
        <w:t xml:space="preserve"> </w:t>
      </w:r>
      <w:r w:rsidRPr="00083184">
        <w:t>of unregistered land, the registered proprietor</w:t>
      </w:r>
      <w:r w:rsidRPr="00083184">
        <w:rPr>
          <w:spacing w:val="-1"/>
        </w:rPr>
        <w:t xml:space="preserve"> </w:t>
      </w:r>
      <w:r w:rsidRPr="00083184">
        <w:t>of one freehold</w:t>
      </w:r>
      <w:r w:rsidRPr="00083184">
        <w:rPr>
          <w:spacing w:val="-3"/>
        </w:rPr>
        <w:t xml:space="preserve"> </w:t>
      </w:r>
      <w:r w:rsidRPr="00083184">
        <w:t>title,</w:t>
      </w:r>
      <w:r w:rsidRPr="00083184">
        <w:rPr>
          <w:spacing w:val="-3"/>
        </w:rPr>
        <w:t xml:space="preserve"> </w:t>
      </w:r>
      <w:r w:rsidRPr="00083184">
        <w:t>the</w:t>
      </w:r>
      <w:r w:rsidRPr="00083184">
        <w:rPr>
          <w:spacing w:val="-4"/>
        </w:rPr>
        <w:t xml:space="preserve"> </w:t>
      </w:r>
      <w:r w:rsidRPr="00083184">
        <w:t>registered</w:t>
      </w:r>
      <w:r w:rsidRPr="00083184">
        <w:rPr>
          <w:spacing w:val="-3"/>
        </w:rPr>
        <w:t xml:space="preserve"> </w:t>
      </w:r>
      <w:r w:rsidRPr="00083184">
        <w:t>proprietor</w:t>
      </w:r>
      <w:r w:rsidRPr="00083184">
        <w:rPr>
          <w:spacing w:val="-4"/>
        </w:rPr>
        <w:t xml:space="preserve"> </w:t>
      </w:r>
      <w:r w:rsidRPr="00083184">
        <w:t>of</w:t>
      </w:r>
      <w:r w:rsidRPr="00083184">
        <w:rPr>
          <w:spacing w:val="-4"/>
        </w:rPr>
        <w:t xml:space="preserve"> </w:t>
      </w:r>
      <w:r w:rsidRPr="00083184">
        <w:t>one</w:t>
      </w:r>
      <w:r w:rsidRPr="00083184">
        <w:rPr>
          <w:spacing w:val="-4"/>
        </w:rPr>
        <w:t xml:space="preserve"> </w:t>
      </w:r>
      <w:r w:rsidRPr="00083184">
        <w:t>leasehold</w:t>
      </w:r>
      <w:r w:rsidRPr="00083184">
        <w:rPr>
          <w:spacing w:val="-3"/>
        </w:rPr>
        <w:t xml:space="preserve"> </w:t>
      </w:r>
      <w:r w:rsidRPr="00083184">
        <w:t xml:space="preserve">title and also has a </w:t>
      </w:r>
      <w:r w:rsidR="007572D3">
        <w:t xml:space="preserve">registered </w:t>
      </w:r>
      <w:r w:rsidRPr="00083184">
        <w:t>leasehold right of way over</w:t>
      </w:r>
      <w:r w:rsidRPr="00083184">
        <w:rPr>
          <w:spacing w:val="-8"/>
        </w:rPr>
        <w:t xml:space="preserve"> </w:t>
      </w:r>
      <w:r w:rsidRPr="00083184">
        <w:t>an</w:t>
      </w:r>
      <w:r w:rsidRPr="00083184">
        <w:rPr>
          <w:spacing w:val="-7"/>
        </w:rPr>
        <w:t xml:space="preserve"> </w:t>
      </w:r>
      <w:r w:rsidRPr="00083184">
        <w:t>accessway</w:t>
      </w:r>
      <w:r w:rsidRPr="00083184">
        <w:rPr>
          <w:spacing w:val="-7"/>
        </w:rPr>
        <w:t xml:space="preserve"> </w:t>
      </w:r>
      <w:r w:rsidRPr="00083184">
        <w:t>over</w:t>
      </w:r>
      <w:r w:rsidRPr="00083184">
        <w:rPr>
          <w:spacing w:val="-8"/>
        </w:rPr>
        <w:t xml:space="preserve"> </w:t>
      </w:r>
      <w:r w:rsidRPr="00083184">
        <w:t>adjoining</w:t>
      </w:r>
      <w:r w:rsidRPr="00083184">
        <w:rPr>
          <w:spacing w:val="-7"/>
        </w:rPr>
        <w:t xml:space="preserve"> </w:t>
      </w:r>
      <w:r w:rsidRPr="00083184">
        <w:t>land.</w:t>
      </w:r>
      <w:r w:rsidRPr="00083184">
        <w:rPr>
          <w:spacing w:val="-7"/>
        </w:rPr>
        <w:t xml:space="preserve"> </w:t>
      </w:r>
      <w:r w:rsidRPr="00083184">
        <w:t>Details</w:t>
      </w:r>
      <w:r w:rsidRPr="00083184">
        <w:rPr>
          <w:spacing w:val="-7"/>
        </w:rPr>
        <w:t xml:space="preserve"> </w:t>
      </w:r>
      <w:r w:rsidRPr="00083184">
        <w:t>are</w:t>
      </w:r>
      <w:r w:rsidRPr="00083184">
        <w:rPr>
          <w:spacing w:val="-8"/>
        </w:rPr>
        <w:t xml:space="preserve"> </w:t>
      </w:r>
      <w:r w:rsidRPr="00083184">
        <w:t>set</w:t>
      </w:r>
      <w:r w:rsidRPr="00083184">
        <w:rPr>
          <w:spacing w:val="-7"/>
        </w:rPr>
        <w:t xml:space="preserve"> </w:t>
      </w:r>
      <w:r w:rsidRPr="00083184">
        <w:t>out</w:t>
      </w:r>
      <w:r w:rsidRPr="00083184">
        <w:rPr>
          <w:spacing w:val="-7"/>
        </w:rPr>
        <w:t xml:space="preserve"> </w:t>
      </w:r>
      <w:r w:rsidRPr="00083184">
        <w:t>in</w:t>
      </w:r>
      <w:r w:rsidRPr="00083184">
        <w:rPr>
          <w:spacing w:val="-10"/>
        </w:rPr>
        <w:t xml:space="preserve"> </w:t>
      </w:r>
      <w:r w:rsidR="00BD440D">
        <w:rPr>
          <w:spacing w:val="-10"/>
        </w:rPr>
        <w:t xml:space="preserve">Davis 1, </w:t>
      </w:r>
      <w:r w:rsidR="00BD440D">
        <w:t>§§</w:t>
      </w:r>
      <w:r w:rsidRPr="00083184">
        <w:t>29</w:t>
      </w:r>
      <w:r w:rsidR="00BD440D">
        <w:t>-</w:t>
      </w:r>
      <w:r w:rsidRPr="00083184">
        <w:t>33</w:t>
      </w:r>
      <w:r w:rsidR="00AF295B">
        <w:t xml:space="preserve"> </w:t>
      </w:r>
      <w:r w:rsidR="00AF295B" w:rsidRPr="00083184">
        <w:rPr>
          <w:b/>
        </w:rPr>
        <w:t>[</w:t>
      </w:r>
      <w:r w:rsidR="00D74717">
        <w:rPr>
          <w:b/>
        </w:rPr>
        <w:t>HB/163</w:t>
      </w:r>
      <w:r w:rsidR="00AF295B" w:rsidRPr="00083184">
        <w:rPr>
          <w:b/>
        </w:rPr>
        <w:t>]</w:t>
      </w:r>
      <w:r w:rsidR="00351FC4">
        <w:rPr>
          <w:b/>
        </w:rPr>
        <w:t xml:space="preserve"> </w:t>
      </w:r>
      <w:r w:rsidR="00B92FDD">
        <w:rPr>
          <w:bCs/>
        </w:rPr>
        <w:t xml:space="preserve">and the Third Witness Statement of </w:t>
      </w:r>
      <w:r w:rsidR="00151EFD">
        <w:rPr>
          <w:bCs/>
        </w:rPr>
        <w:t>Peter</w:t>
      </w:r>
      <w:r w:rsidR="00B92FDD">
        <w:rPr>
          <w:bCs/>
        </w:rPr>
        <w:t xml:space="preserve"> Davis, dated 5 July 2023, </w:t>
      </w:r>
      <w:r w:rsidR="00B92FDD">
        <w:t>§</w:t>
      </w:r>
      <w:r w:rsidR="00B92FDD">
        <w:rPr>
          <w:bCs/>
        </w:rPr>
        <w:t xml:space="preserve">13 </w:t>
      </w:r>
      <w:r w:rsidR="00B92FDD" w:rsidRPr="00B92FDD">
        <w:rPr>
          <w:b/>
        </w:rPr>
        <w:t>[</w:t>
      </w:r>
      <w:r w:rsidR="00D74717">
        <w:rPr>
          <w:b/>
        </w:rPr>
        <w:t>HB/219</w:t>
      </w:r>
      <w:r w:rsidR="00B92FDD" w:rsidRPr="00B92FDD">
        <w:rPr>
          <w:b/>
        </w:rPr>
        <w:t>]</w:t>
      </w:r>
      <w:r w:rsidRPr="00083184">
        <w:t>.</w:t>
      </w:r>
    </w:p>
    <w:p w14:paraId="05CE07CA" w14:textId="1259908C" w:rsidR="005A66DA" w:rsidRPr="00083184" w:rsidRDefault="002D53A3" w:rsidP="002042D2">
      <w:pPr>
        <w:pStyle w:val="BodyText"/>
        <w:spacing w:before="60" w:after="240" w:line="360" w:lineRule="auto"/>
        <w:ind w:left="1701" w:right="120"/>
        <w:jc w:val="both"/>
      </w:pPr>
      <w:r>
        <w:t>This</w:t>
      </w:r>
      <w:r w:rsidR="005A66DA">
        <w:t xml:space="preserve"> private access</w:t>
      </w:r>
      <w:r>
        <w:t>way</w:t>
      </w:r>
      <w:r w:rsidR="005A66DA">
        <w:t xml:space="preserve"> on land adjoining Site 2 leading from the public highway to Site </w:t>
      </w:r>
      <w:r>
        <w:t xml:space="preserve">2 is referred to as </w:t>
      </w:r>
      <w:r w:rsidR="005A66DA">
        <w:t>the “</w:t>
      </w:r>
      <w:r w:rsidR="005A66DA">
        <w:rPr>
          <w:b/>
          <w:bCs/>
        </w:rPr>
        <w:t xml:space="preserve">Site </w:t>
      </w:r>
      <w:r w:rsidR="005376B8">
        <w:rPr>
          <w:b/>
          <w:bCs/>
        </w:rPr>
        <w:t>2</w:t>
      </w:r>
      <w:r w:rsidR="005A66DA">
        <w:rPr>
          <w:b/>
          <w:bCs/>
        </w:rPr>
        <w:t xml:space="preserve"> Access Route</w:t>
      </w:r>
      <w:r w:rsidR="005A66DA">
        <w:t>”.</w:t>
      </w:r>
    </w:p>
    <w:p w14:paraId="49A580B4" w14:textId="630AF049" w:rsidR="00BB57FF" w:rsidRDefault="001474D2" w:rsidP="00AB2DF1">
      <w:pPr>
        <w:pStyle w:val="BodyText"/>
        <w:spacing w:before="60" w:after="240" w:line="360" w:lineRule="auto"/>
        <w:ind w:left="1701" w:right="120"/>
        <w:jc w:val="both"/>
        <w:rPr>
          <w:spacing w:val="-2"/>
        </w:rPr>
      </w:pPr>
      <w:r w:rsidRPr="00083184">
        <w:lastRenderedPageBreak/>
        <w:t>A</w:t>
      </w:r>
      <w:r w:rsidRPr="00083184">
        <w:rPr>
          <w:spacing w:val="-4"/>
        </w:rPr>
        <w:t xml:space="preserve"> </w:t>
      </w:r>
      <w:r w:rsidRPr="00083184">
        <w:t>plan</w:t>
      </w:r>
      <w:r w:rsidRPr="00083184">
        <w:rPr>
          <w:spacing w:val="-1"/>
        </w:rPr>
        <w:t xml:space="preserve"> </w:t>
      </w:r>
      <w:r w:rsidRPr="00083184">
        <w:t>for</w:t>
      </w:r>
      <w:r w:rsidRPr="00083184">
        <w:rPr>
          <w:spacing w:val="-1"/>
        </w:rPr>
        <w:t xml:space="preserve"> </w:t>
      </w:r>
      <w:r w:rsidRPr="00083184">
        <w:t>Site</w:t>
      </w:r>
      <w:r w:rsidRPr="00083184">
        <w:rPr>
          <w:spacing w:val="-2"/>
        </w:rPr>
        <w:t xml:space="preserve"> </w:t>
      </w:r>
      <w:r w:rsidRPr="00083184">
        <w:t>2</w:t>
      </w:r>
      <w:r w:rsidR="005A66DA">
        <w:t xml:space="preserve"> and the Site 2 Access Route</w:t>
      </w:r>
      <w:r w:rsidRPr="00083184">
        <w:t xml:space="preserve"> </w:t>
      </w:r>
      <w:r w:rsidR="00AB2DF1" w:rsidRPr="00083184">
        <w:t>can be found at</w:t>
      </w:r>
      <w:r w:rsidRPr="00083184">
        <w:rPr>
          <w:spacing w:val="-1"/>
        </w:rPr>
        <w:t xml:space="preserve"> </w:t>
      </w:r>
      <w:r w:rsidR="00AB2DF1" w:rsidRPr="00083184">
        <w:rPr>
          <w:b/>
          <w:bCs/>
          <w:spacing w:val="-1"/>
        </w:rPr>
        <w:t>[</w:t>
      </w:r>
      <w:r w:rsidR="000B6CF7">
        <w:rPr>
          <w:b/>
          <w:bCs/>
          <w:spacing w:val="-1"/>
        </w:rPr>
        <w:t>HB/12</w:t>
      </w:r>
      <w:r w:rsidRPr="00083184">
        <w:rPr>
          <w:b/>
          <w:spacing w:val="-2"/>
        </w:rPr>
        <w:t>]</w:t>
      </w:r>
      <w:r w:rsidRPr="00083184">
        <w:rPr>
          <w:spacing w:val="-2"/>
        </w:rPr>
        <w:t>.</w:t>
      </w:r>
    </w:p>
    <w:p w14:paraId="5287E504" w14:textId="77777777" w:rsidR="00AF295B" w:rsidRPr="00B44B3B" w:rsidRDefault="00AF295B" w:rsidP="00AB2DF1">
      <w:pPr>
        <w:pStyle w:val="BodyText"/>
        <w:spacing w:before="60" w:after="240" w:line="360" w:lineRule="auto"/>
        <w:ind w:left="1701" w:right="120"/>
        <w:jc w:val="both"/>
        <w:rPr>
          <w:sz w:val="6"/>
          <w:szCs w:val="6"/>
        </w:rPr>
      </w:pPr>
    </w:p>
    <w:p w14:paraId="49A580B5" w14:textId="21AB8C50" w:rsidR="00BB57FF" w:rsidRPr="00AF295B" w:rsidRDefault="00AF295B" w:rsidP="00AF295B">
      <w:pPr>
        <w:pStyle w:val="BodyText"/>
        <w:numPr>
          <w:ilvl w:val="0"/>
          <w:numId w:val="19"/>
        </w:numPr>
        <w:rPr>
          <w:b/>
          <w:bCs/>
        </w:rPr>
      </w:pPr>
      <w:r>
        <w:rPr>
          <w:b/>
          <w:bCs/>
        </w:rPr>
        <w:t>The direct action</w:t>
      </w:r>
    </w:p>
    <w:p w14:paraId="670A6283" w14:textId="77777777" w:rsidR="00AF295B" w:rsidRPr="00083184" w:rsidRDefault="00AF295B">
      <w:pPr>
        <w:pStyle w:val="BodyText"/>
      </w:pPr>
    </w:p>
    <w:p w14:paraId="37B757B7" w14:textId="7362C5E3" w:rsidR="00215DAB" w:rsidRPr="00083184" w:rsidRDefault="00706945" w:rsidP="0075597E">
      <w:pPr>
        <w:pStyle w:val="BodyText"/>
        <w:numPr>
          <w:ilvl w:val="0"/>
          <w:numId w:val="15"/>
        </w:numPr>
        <w:spacing w:after="240" w:line="360" w:lineRule="auto"/>
        <w:ind w:left="567" w:hanging="567"/>
        <w:jc w:val="both"/>
      </w:pPr>
      <w:r w:rsidRPr="00083184">
        <w:t xml:space="preserve">In April 2022, a campaign of direct action was commenced </w:t>
      </w:r>
      <w:r w:rsidR="00050998" w:rsidRPr="00083184">
        <w:t>against a wide range of sites related to the energy sector</w:t>
      </w:r>
      <w:r w:rsidR="0075597E" w:rsidRPr="00083184">
        <w:t xml:space="preserve">, as set out in </w:t>
      </w:r>
      <w:r w:rsidR="00237DCC">
        <w:t>p</w:t>
      </w:r>
      <w:r w:rsidR="0075597E" w:rsidRPr="00083184">
        <w:t>aragraph 46 of</w:t>
      </w:r>
      <w:r w:rsidR="004E499A">
        <w:t xml:space="preserve"> the First Witness Statement of John Armstrong, dated 7 April 2022 (“</w:t>
      </w:r>
      <w:r w:rsidR="00B43694" w:rsidRPr="004E499A">
        <w:rPr>
          <w:b/>
          <w:bCs/>
        </w:rPr>
        <w:t>Armstrong 1</w:t>
      </w:r>
      <w:r w:rsidR="004E499A">
        <w:t>”)</w:t>
      </w:r>
      <w:r w:rsidR="0075597E" w:rsidRPr="00083184">
        <w:rPr>
          <w:spacing w:val="-7"/>
        </w:rPr>
        <w:t xml:space="preserve"> </w:t>
      </w:r>
      <w:r w:rsidR="0075597E" w:rsidRPr="00083184">
        <w:rPr>
          <w:b/>
        </w:rPr>
        <w:t>[</w:t>
      </w:r>
      <w:r w:rsidR="00354DAC">
        <w:rPr>
          <w:b/>
        </w:rPr>
        <w:t>HB/</w:t>
      </w:r>
      <w:r w:rsidR="00BB4E8B">
        <w:rPr>
          <w:b/>
        </w:rPr>
        <w:t>176</w:t>
      </w:r>
      <w:r w:rsidR="0075597E" w:rsidRPr="00083184">
        <w:rPr>
          <w:b/>
        </w:rPr>
        <w:t>]</w:t>
      </w:r>
      <w:r w:rsidR="00050998" w:rsidRPr="00083184">
        <w:t xml:space="preserve">. This included direct targeting of the Sites. </w:t>
      </w:r>
      <w:r w:rsidR="001474D2" w:rsidRPr="00083184">
        <w:t xml:space="preserve">The details of the campaigns are set out in </w:t>
      </w:r>
      <w:r w:rsidR="00B43694">
        <w:t>Armstrong 1</w:t>
      </w:r>
      <w:r w:rsidR="00606CD7">
        <w:t>, §§</w:t>
      </w:r>
      <w:r w:rsidR="00606CD7" w:rsidRPr="00083184">
        <w:t xml:space="preserve">43-48 </w:t>
      </w:r>
      <w:r w:rsidR="001474D2" w:rsidRPr="00083184">
        <w:rPr>
          <w:b/>
        </w:rPr>
        <w:t>[</w:t>
      </w:r>
      <w:r w:rsidR="00BB4E8B">
        <w:rPr>
          <w:b/>
        </w:rPr>
        <w:t>HB/174</w:t>
      </w:r>
      <w:r w:rsidR="001474D2" w:rsidRPr="00083184">
        <w:rPr>
          <w:b/>
        </w:rPr>
        <w:t>]</w:t>
      </w:r>
      <w:r w:rsidR="001474D2" w:rsidRPr="00083184">
        <w:t>.</w:t>
      </w:r>
    </w:p>
    <w:p w14:paraId="49A580BF" w14:textId="21AA7480" w:rsidR="00BB57FF" w:rsidRPr="00083184" w:rsidRDefault="00215DAB" w:rsidP="00215DAB">
      <w:pPr>
        <w:pStyle w:val="BodyText"/>
        <w:numPr>
          <w:ilvl w:val="0"/>
          <w:numId w:val="15"/>
        </w:numPr>
        <w:spacing w:line="360" w:lineRule="auto"/>
        <w:ind w:left="567" w:hanging="567"/>
        <w:jc w:val="both"/>
      </w:pPr>
      <w:r w:rsidRPr="00083184">
        <w:t>By way of example, as set out at</w:t>
      </w:r>
      <w:r w:rsidR="001474D2" w:rsidRPr="00083184">
        <w:rPr>
          <w:spacing w:val="-11"/>
        </w:rPr>
        <w:t xml:space="preserve"> </w:t>
      </w:r>
      <w:r w:rsidR="00B43694">
        <w:t>Armstrong 1</w:t>
      </w:r>
      <w:r w:rsidR="00160742">
        <w:t>, §44</w:t>
      </w:r>
      <w:r w:rsidR="00374428">
        <w:t xml:space="preserve"> </w:t>
      </w:r>
      <w:r w:rsidR="00AF295B" w:rsidRPr="00083184">
        <w:rPr>
          <w:b/>
        </w:rPr>
        <w:t>[</w:t>
      </w:r>
      <w:r w:rsidR="00BB4E8B">
        <w:rPr>
          <w:b/>
        </w:rPr>
        <w:t>HB/175</w:t>
      </w:r>
      <w:r w:rsidR="00AF295B" w:rsidRPr="00083184">
        <w:rPr>
          <w:b/>
        </w:rPr>
        <w:t>]</w:t>
      </w:r>
      <w:r w:rsidRPr="00083184">
        <w:rPr>
          <w:b/>
        </w:rPr>
        <w:t>:</w:t>
      </w:r>
    </w:p>
    <w:p w14:paraId="49A580C0" w14:textId="22610CF7" w:rsidR="00BB57FF" w:rsidRPr="00083184" w:rsidRDefault="001474D2" w:rsidP="00215DAB">
      <w:pPr>
        <w:pStyle w:val="ListParagraph"/>
        <w:numPr>
          <w:ilvl w:val="2"/>
          <w:numId w:val="10"/>
        </w:numPr>
        <w:tabs>
          <w:tab w:val="left" w:pos="1701"/>
        </w:tabs>
        <w:spacing w:before="160" w:line="360" w:lineRule="auto"/>
        <w:ind w:left="1701" w:right="117" w:hanging="567"/>
        <w:rPr>
          <w:sz w:val="24"/>
        </w:rPr>
      </w:pPr>
      <w:r w:rsidRPr="00083184">
        <w:rPr>
          <w:sz w:val="24"/>
        </w:rPr>
        <w:t>On 1 April 2022, ‘Just Stop Oil’</w:t>
      </w:r>
      <w:r w:rsidRPr="00083184">
        <w:rPr>
          <w:spacing w:val="-1"/>
          <w:sz w:val="24"/>
        </w:rPr>
        <w:t xml:space="preserve"> </w:t>
      </w:r>
      <w:r w:rsidRPr="00083184">
        <w:rPr>
          <w:sz w:val="24"/>
        </w:rPr>
        <w:t>activists climbed on top of</w:t>
      </w:r>
      <w:r w:rsidRPr="00083184">
        <w:rPr>
          <w:spacing w:val="-1"/>
          <w:sz w:val="24"/>
        </w:rPr>
        <w:t xml:space="preserve"> </w:t>
      </w:r>
      <w:r w:rsidRPr="00083184">
        <w:rPr>
          <w:sz w:val="24"/>
        </w:rPr>
        <w:t>an oil tanker</w:t>
      </w:r>
      <w:r w:rsidRPr="00083184">
        <w:rPr>
          <w:spacing w:val="-1"/>
          <w:sz w:val="24"/>
        </w:rPr>
        <w:t xml:space="preserve"> </w:t>
      </w:r>
      <w:r w:rsidRPr="00083184">
        <w:rPr>
          <w:sz w:val="24"/>
        </w:rPr>
        <w:t>at the entrance to Site 1, with other individuals sitting on the road in front of the oil tanker. 27 people were arrested.</w:t>
      </w:r>
    </w:p>
    <w:p w14:paraId="25C8200F" w14:textId="04BAB769" w:rsidR="00215DAB" w:rsidRPr="00083184" w:rsidRDefault="001474D2" w:rsidP="00215DAB">
      <w:pPr>
        <w:pStyle w:val="ListParagraph"/>
        <w:numPr>
          <w:ilvl w:val="2"/>
          <w:numId w:val="10"/>
        </w:numPr>
        <w:tabs>
          <w:tab w:val="left" w:pos="1701"/>
        </w:tabs>
        <w:spacing w:before="159" w:line="360" w:lineRule="auto"/>
        <w:ind w:left="1701" w:right="116" w:hanging="567"/>
        <w:rPr>
          <w:sz w:val="24"/>
        </w:rPr>
      </w:pPr>
      <w:r w:rsidRPr="00083184">
        <w:rPr>
          <w:sz w:val="24"/>
        </w:rPr>
        <w:t xml:space="preserve">On 3 April 2022, </w:t>
      </w:r>
      <w:r w:rsidR="009275E6">
        <w:rPr>
          <w:sz w:val="24"/>
        </w:rPr>
        <w:t xml:space="preserve">around </w:t>
      </w:r>
      <w:r w:rsidRPr="00083184">
        <w:rPr>
          <w:sz w:val="24"/>
        </w:rPr>
        <w:t>33 individuals were at Site 1 and blocked the entrance to the depot.</w:t>
      </w:r>
      <w:r w:rsidRPr="00083184">
        <w:rPr>
          <w:spacing w:val="-15"/>
          <w:sz w:val="24"/>
        </w:rPr>
        <w:t xml:space="preserve"> </w:t>
      </w:r>
      <w:r w:rsidRPr="00144448">
        <w:rPr>
          <w:sz w:val="24"/>
        </w:rPr>
        <w:t>14</w:t>
      </w:r>
      <w:r w:rsidRPr="00144448">
        <w:rPr>
          <w:spacing w:val="-15"/>
          <w:sz w:val="24"/>
        </w:rPr>
        <w:t xml:space="preserve"> </w:t>
      </w:r>
      <w:r w:rsidRPr="00144448">
        <w:rPr>
          <w:sz w:val="24"/>
        </w:rPr>
        <w:t>people</w:t>
      </w:r>
      <w:r w:rsidRPr="00144448">
        <w:rPr>
          <w:spacing w:val="-15"/>
          <w:sz w:val="24"/>
        </w:rPr>
        <w:t xml:space="preserve"> </w:t>
      </w:r>
      <w:r w:rsidRPr="00144448">
        <w:rPr>
          <w:sz w:val="24"/>
        </w:rPr>
        <w:t>were</w:t>
      </w:r>
      <w:r w:rsidRPr="00144448">
        <w:rPr>
          <w:spacing w:val="-15"/>
          <w:sz w:val="24"/>
        </w:rPr>
        <w:t xml:space="preserve"> </w:t>
      </w:r>
      <w:r w:rsidRPr="00144448">
        <w:rPr>
          <w:sz w:val="24"/>
        </w:rPr>
        <w:t>arrested</w:t>
      </w:r>
      <w:r w:rsidRPr="00083184">
        <w:rPr>
          <w:sz w:val="24"/>
        </w:rPr>
        <w:t>.</w:t>
      </w:r>
      <w:r w:rsidRPr="00083184">
        <w:rPr>
          <w:spacing w:val="-15"/>
          <w:sz w:val="24"/>
        </w:rPr>
        <w:t xml:space="preserve"> </w:t>
      </w:r>
      <w:r w:rsidRPr="00083184">
        <w:rPr>
          <w:sz w:val="24"/>
        </w:rPr>
        <w:t>In</w:t>
      </w:r>
      <w:r w:rsidRPr="00083184">
        <w:rPr>
          <w:spacing w:val="-15"/>
          <w:sz w:val="24"/>
        </w:rPr>
        <w:t xml:space="preserve"> </w:t>
      </w:r>
      <w:r w:rsidRPr="00083184">
        <w:rPr>
          <w:sz w:val="24"/>
        </w:rPr>
        <w:t>addition,</w:t>
      </w:r>
      <w:r w:rsidRPr="00083184">
        <w:rPr>
          <w:spacing w:val="-15"/>
          <w:sz w:val="24"/>
        </w:rPr>
        <w:t xml:space="preserve"> </w:t>
      </w:r>
      <w:r w:rsidRPr="00083184">
        <w:rPr>
          <w:sz w:val="24"/>
        </w:rPr>
        <w:t>support</w:t>
      </w:r>
      <w:r w:rsidR="005B4351">
        <w:rPr>
          <w:sz w:val="24"/>
        </w:rPr>
        <w:t>er</w:t>
      </w:r>
      <w:r w:rsidRPr="00083184">
        <w:rPr>
          <w:sz w:val="24"/>
        </w:rPr>
        <w:t>s</w:t>
      </w:r>
      <w:r w:rsidRPr="00083184">
        <w:rPr>
          <w:spacing w:val="-15"/>
          <w:sz w:val="24"/>
        </w:rPr>
        <w:t xml:space="preserve"> </w:t>
      </w:r>
      <w:r w:rsidRPr="00083184">
        <w:rPr>
          <w:sz w:val="24"/>
        </w:rPr>
        <w:t>of</w:t>
      </w:r>
      <w:r w:rsidRPr="00083184">
        <w:rPr>
          <w:spacing w:val="-15"/>
          <w:sz w:val="24"/>
        </w:rPr>
        <w:t xml:space="preserve"> </w:t>
      </w:r>
      <w:r w:rsidRPr="00083184">
        <w:rPr>
          <w:sz w:val="24"/>
        </w:rPr>
        <w:t>Just</w:t>
      </w:r>
      <w:r w:rsidRPr="00083184">
        <w:rPr>
          <w:spacing w:val="-15"/>
          <w:sz w:val="24"/>
        </w:rPr>
        <w:t xml:space="preserve"> </w:t>
      </w:r>
      <w:r w:rsidRPr="00083184">
        <w:rPr>
          <w:sz w:val="24"/>
        </w:rPr>
        <w:t>Stop</w:t>
      </w:r>
      <w:r w:rsidRPr="00083184">
        <w:rPr>
          <w:spacing w:val="-15"/>
          <w:sz w:val="24"/>
        </w:rPr>
        <w:t xml:space="preserve"> </w:t>
      </w:r>
      <w:r w:rsidRPr="00083184">
        <w:rPr>
          <w:sz w:val="24"/>
        </w:rPr>
        <w:t>Oil</w:t>
      </w:r>
      <w:r w:rsidRPr="00083184">
        <w:rPr>
          <w:spacing w:val="-15"/>
          <w:sz w:val="24"/>
        </w:rPr>
        <w:t xml:space="preserve"> </w:t>
      </w:r>
      <w:r w:rsidRPr="00083184">
        <w:rPr>
          <w:sz w:val="24"/>
        </w:rPr>
        <w:t>cut</w:t>
      </w:r>
      <w:r w:rsidRPr="00083184">
        <w:rPr>
          <w:spacing w:val="-15"/>
          <w:sz w:val="24"/>
        </w:rPr>
        <w:t xml:space="preserve"> </w:t>
      </w:r>
      <w:r w:rsidRPr="00083184">
        <w:rPr>
          <w:sz w:val="24"/>
        </w:rPr>
        <w:t xml:space="preserve">through a fence to access Oil Road on Site 1 as well as climbing on oil tankers at Oil </w:t>
      </w:r>
      <w:r w:rsidRPr="00083184">
        <w:rPr>
          <w:spacing w:val="-4"/>
          <w:sz w:val="24"/>
        </w:rPr>
        <w:t>Road.</w:t>
      </w:r>
    </w:p>
    <w:p w14:paraId="41BFFA8A" w14:textId="2DF7B436" w:rsidR="00215DAB" w:rsidRPr="00083184" w:rsidRDefault="001474D2" w:rsidP="00215DAB">
      <w:pPr>
        <w:pStyle w:val="ListParagraph"/>
        <w:numPr>
          <w:ilvl w:val="2"/>
          <w:numId w:val="10"/>
        </w:numPr>
        <w:tabs>
          <w:tab w:val="left" w:pos="1701"/>
        </w:tabs>
        <w:spacing w:before="159" w:line="360" w:lineRule="auto"/>
        <w:ind w:left="1701" w:right="116" w:hanging="567"/>
        <w:rPr>
          <w:sz w:val="24"/>
        </w:rPr>
      </w:pPr>
      <w:r w:rsidRPr="00083184">
        <w:rPr>
          <w:sz w:val="24"/>
        </w:rPr>
        <w:t>Later on 3 April 2022, more than 30 individuals camped outside Site 1 overnight. Some stood on fuel trucks with banners whilst other</w:t>
      </w:r>
      <w:r w:rsidR="005B4351">
        <w:rPr>
          <w:sz w:val="24"/>
        </w:rPr>
        <w:t>s</w:t>
      </w:r>
      <w:r w:rsidRPr="00083184">
        <w:rPr>
          <w:sz w:val="24"/>
        </w:rPr>
        <w:t xml:space="preserve"> prevented tankers from leaving.</w:t>
      </w:r>
    </w:p>
    <w:p w14:paraId="49A580C4" w14:textId="402E0D46" w:rsidR="00BB57FF" w:rsidRPr="00083184" w:rsidRDefault="001474D2" w:rsidP="00215DAB">
      <w:pPr>
        <w:pStyle w:val="ListParagraph"/>
        <w:numPr>
          <w:ilvl w:val="2"/>
          <w:numId w:val="10"/>
        </w:numPr>
        <w:tabs>
          <w:tab w:val="left" w:pos="1701"/>
        </w:tabs>
        <w:spacing w:before="159" w:line="360" w:lineRule="auto"/>
        <w:ind w:left="1701" w:right="116" w:hanging="567"/>
        <w:rPr>
          <w:sz w:val="24"/>
        </w:rPr>
      </w:pPr>
      <w:r w:rsidRPr="00083184">
        <w:rPr>
          <w:sz w:val="24"/>
        </w:rPr>
        <w:t>On</w:t>
      </w:r>
      <w:r w:rsidRPr="00083184">
        <w:rPr>
          <w:spacing w:val="-1"/>
          <w:sz w:val="24"/>
        </w:rPr>
        <w:t xml:space="preserve"> </w:t>
      </w:r>
      <w:r w:rsidRPr="00083184">
        <w:rPr>
          <w:sz w:val="24"/>
        </w:rPr>
        <w:t>4</w:t>
      </w:r>
      <w:r w:rsidRPr="00083184">
        <w:rPr>
          <w:spacing w:val="-1"/>
          <w:sz w:val="24"/>
        </w:rPr>
        <w:t xml:space="preserve"> </w:t>
      </w:r>
      <w:r w:rsidRPr="00083184">
        <w:rPr>
          <w:sz w:val="24"/>
        </w:rPr>
        <w:t>April</w:t>
      </w:r>
      <w:r w:rsidRPr="00083184">
        <w:rPr>
          <w:spacing w:val="-1"/>
          <w:sz w:val="24"/>
        </w:rPr>
        <w:t xml:space="preserve"> </w:t>
      </w:r>
      <w:r w:rsidRPr="00083184">
        <w:rPr>
          <w:sz w:val="24"/>
        </w:rPr>
        <w:t>2022,</w:t>
      </w:r>
      <w:r w:rsidRPr="00083184">
        <w:rPr>
          <w:spacing w:val="-1"/>
          <w:sz w:val="24"/>
        </w:rPr>
        <w:t xml:space="preserve"> </w:t>
      </w:r>
      <w:r w:rsidRPr="00083184">
        <w:rPr>
          <w:sz w:val="24"/>
        </w:rPr>
        <w:t>the</w:t>
      </w:r>
      <w:r w:rsidRPr="00083184">
        <w:rPr>
          <w:spacing w:val="-2"/>
          <w:sz w:val="24"/>
        </w:rPr>
        <w:t xml:space="preserve"> </w:t>
      </w:r>
      <w:r w:rsidRPr="00083184">
        <w:rPr>
          <w:sz w:val="24"/>
        </w:rPr>
        <w:t>direct</w:t>
      </w:r>
      <w:r w:rsidRPr="00083184">
        <w:rPr>
          <w:spacing w:val="-1"/>
          <w:sz w:val="24"/>
        </w:rPr>
        <w:t xml:space="preserve"> </w:t>
      </w:r>
      <w:r w:rsidRPr="00083184">
        <w:rPr>
          <w:sz w:val="24"/>
        </w:rPr>
        <w:t>action</w:t>
      </w:r>
      <w:r w:rsidRPr="00083184">
        <w:rPr>
          <w:spacing w:val="-1"/>
          <w:sz w:val="24"/>
        </w:rPr>
        <w:t xml:space="preserve"> </w:t>
      </w:r>
      <w:r w:rsidRPr="00083184">
        <w:rPr>
          <w:spacing w:val="-2"/>
          <w:sz w:val="24"/>
        </w:rPr>
        <w:t>continued.</w:t>
      </w:r>
    </w:p>
    <w:p w14:paraId="49A580C5" w14:textId="77777777" w:rsidR="00BB57FF" w:rsidRPr="00083184" w:rsidRDefault="00BB57FF">
      <w:pPr>
        <w:pStyle w:val="BodyText"/>
        <w:rPr>
          <w:sz w:val="26"/>
        </w:rPr>
      </w:pPr>
    </w:p>
    <w:p w14:paraId="49A580C7" w14:textId="77777777" w:rsidR="00BB57FF" w:rsidRPr="00160742" w:rsidRDefault="00BB57FF" w:rsidP="00EB7723">
      <w:pPr>
        <w:pStyle w:val="BodyText"/>
        <w:spacing w:before="9" w:line="360" w:lineRule="auto"/>
        <w:rPr>
          <w:sz w:val="6"/>
          <w:szCs w:val="6"/>
        </w:rPr>
      </w:pPr>
    </w:p>
    <w:p w14:paraId="49A580C8" w14:textId="171D9CE3" w:rsidR="00BB57FF" w:rsidRPr="00374428" w:rsidRDefault="001474D2" w:rsidP="00EB7723">
      <w:pPr>
        <w:pStyle w:val="ListParagraph"/>
        <w:numPr>
          <w:ilvl w:val="0"/>
          <w:numId w:val="15"/>
        </w:numPr>
        <w:tabs>
          <w:tab w:val="left" w:pos="567"/>
        </w:tabs>
        <w:spacing w:line="360" w:lineRule="auto"/>
        <w:ind w:left="567" w:hanging="567"/>
        <w:rPr>
          <w:sz w:val="24"/>
          <w:szCs w:val="24"/>
        </w:rPr>
      </w:pPr>
      <w:r w:rsidRPr="00083184">
        <w:rPr>
          <w:sz w:val="24"/>
        </w:rPr>
        <w:t>There</w:t>
      </w:r>
      <w:r w:rsidRPr="00083184">
        <w:rPr>
          <w:spacing w:val="-3"/>
          <w:sz w:val="24"/>
        </w:rPr>
        <w:t xml:space="preserve"> </w:t>
      </w:r>
      <w:r w:rsidR="0075597E" w:rsidRPr="00083184">
        <w:rPr>
          <w:sz w:val="24"/>
        </w:rPr>
        <w:t>had</w:t>
      </w:r>
      <w:r w:rsidRPr="00083184">
        <w:rPr>
          <w:spacing w:val="-1"/>
          <w:sz w:val="24"/>
        </w:rPr>
        <w:t xml:space="preserve"> </w:t>
      </w:r>
      <w:r w:rsidRPr="00083184">
        <w:rPr>
          <w:sz w:val="24"/>
        </w:rPr>
        <w:t>also</w:t>
      </w:r>
      <w:r w:rsidRPr="00083184">
        <w:rPr>
          <w:spacing w:val="-1"/>
          <w:sz w:val="24"/>
        </w:rPr>
        <w:t xml:space="preserve"> </w:t>
      </w:r>
      <w:r w:rsidRPr="00083184">
        <w:rPr>
          <w:sz w:val="24"/>
        </w:rPr>
        <w:t>be</w:t>
      </w:r>
      <w:r w:rsidRPr="00A91583">
        <w:rPr>
          <w:sz w:val="24"/>
          <w:szCs w:val="24"/>
        </w:rPr>
        <w:t>en</w:t>
      </w:r>
      <w:r w:rsidRPr="00A91583">
        <w:rPr>
          <w:spacing w:val="-1"/>
          <w:sz w:val="24"/>
          <w:szCs w:val="24"/>
        </w:rPr>
        <w:t xml:space="preserve"> </w:t>
      </w:r>
      <w:r w:rsidRPr="00A91583">
        <w:rPr>
          <w:sz w:val="24"/>
          <w:szCs w:val="24"/>
        </w:rPr>
        <w:t>direct</w:t>
      </w:r>
      <w:r w:rsidRPr="00A91583">
        <w:rPr>
          <w:spacing w:val="-1"/>
          <w:sz w:val="24"/>
          <w:szCs w:val="24"/>
        </w:rPr>
        <w:t xml:space="preserve"> </w:t>
      </w:r>
      <w:r w:rsidRPr="00A91583">
        <w:rPr>
          <w:sz w:val="24"/>
          <w:szCs w:val="24"/>
        </w:rPr>
        <w:t>action</w:t>
      </w:r>
      <w:r w:rsidRPr="00A91583">
        <w:rPr>
          <w:spacing w:val="-1"/>
          <w:sz w:val="24"/>
          <w:szCs w:val="24"/>
        </w:rPr>
        <w:t xml:space="preserve"> </w:t>
      </w:r>
      <w:r w:rsidRPr="00A91583">
        <w:rPr>
          <w:sz w:val="24"/>
          <w:szCs w:val="24"/>
        </w:rPr>
        <w:t>affecting</w:t>
      </w:r>
      <w:r w:rsidRPr="00A91583">
        <w:rPr>
          <w:spacing w:val="-1"/>
          <w:sz w:val="24"/>
          <w:szCs w:val="24"/>
        </w:rPr>
        <w:t xml:space="preserve"> </w:t>
      </w:r>
      <w:r w:rsidRPr="00A91583">
        <w:rPr>
          <w:sz w:val="24"/>
          <w:szCs w:val="24"/>
        </w:rPr>
        <w:t>Site</w:t>
      </w:r>
      <w:r w:rsidRPr="00A91583">
        <w:rPr>
          <w:spacing w:val="-2"/>
          <w:sz w:val="24"/>
          <w:szCs w:val="24"/>
        </w:rPr>
        <w:t xml:space="preserve"> </w:t>
      </w:r>
      <w:r w:rsidRPr="00A91583">
        <w:rPr>
          <w:spacing w:val="-5"/>
          <w:sz w:val="24"/>
          <w:szCs w:val="24"/>
        </w:rPr>
        <w:t>2</w:t>
      </w:r>
      <w:r w:rsidR="009275E6" w:rsidRPr="00A91583">
        <w:rPr>
          <w:spacing w:val="-5"/>
          <w:sz w:val="24"/>
          <w:szCs w:val="24"/>
        </w:rPr>
        <w:t xml:space="preserve">, as set out at </w:t>
      </w:r>
      <w:r w:rsidR="00B43694" w:rsidRPr="00C340EE">
        <w:rPr>
          <w:sz w:val="24"/>
          <w:szCs w:val="24"/>
        </w:rPr>
        <w:t>Armstr</w:t>
      </w:r>
      <w:r w:rsidR="00B43694" w:rsidRPr="00374428">
        <w:rPr>
          <w:sz w:val="24"/>
          <w:szCs w:val="24"/>
        </w:rPr>
        <w:t>ong 1</w:t>
      </w:r>
      <w:r w:rsidR="00160742" w:rsidRPr="00374428">
        <w:rPr>
          <w:sz w:val="24"/>
          <w:szCs w:val="24"/>
        </w:rPr>
        <w:t>, §45</w:t>
      </w:r>
      <w:r w:rsidR="00B43694" w:rsidRPr="00374428">
        <w:rPr>
          <w:b/>
          <w:sz w:val="24"/>
          <w:szCs w:val="24"/>
        </w:rPr>
        <w:t xml:space="preserve"> </w:t>
      </w:r>
      <w:r w:rsidR="00A91583" w:rsidRPr="00374428">
        <w:rPr>
          <w:b/>
          <w:sz w:val="24"/>
          <w:szCs w:val="24"/>
        </w:rPr>
        <w:t>[</w:t>
      </w:r>
      <w:r w:rsidR="00BB4E8B" w:rsidRPr="00374428">
        <w:rPr>
          <w:b/>
          <w:sz w:val="24"/>
          <w:szCs w:val="24"/>
        </w:rPr>
        <w:t>HB/</w:t>
      </w:r>
      <w:r w:rsidR="00214559" w:rsidRPr="00374428">
        <w:rPr>
          <w:b/>
          <w:sz w:val="24"/>
          <w:szCs w:val="24"/>
        </w:rPr>
        <w:t>176</w:t>
      </w:r>
      <w:r w:rsidR="00A91583" w:rsidRPr="00374428">
        <w:rPr>
          <w:b/>
          <w:sz w:val="24"/>
          <w:szCs w:val="24"/>
        </w:rPr>
        <w:t>]</w:t>
      </w:r>
      <w:r w:rsidRPr="00374428">
        <w:rPr>
          <w:spacing w:val="-5"/>
          <w:sz w:val="24"/>
          <w:szCs w:val="24"/>
        </w:rPr>
        <w:t>:</w:t>
      </w:r>
    </w:p>
    <w:p w14:paraId="49A580C9" w14:textId="77777777" w:rsidR="00BB57FF" w:rsidRPr="00A91583" w:rsidRDefault="00BB57FF">
      <w:pPr>
        <w:pStyle w:val="BodyText"/>
        <w:spacing w:before="1"/>
      </w:pPr>
    </w:p>
    <w:p w14:paraId="49A580CA" w14:textId="394928CD" w:rsidR="00BB57FF" w:rsidRPr="00083184" w:rsidRDefault="001474D2" w:rsidP="00215DAB">
      <w:pPr>
        <w:pStyle w:val="ListParagraph"/>
        <w:numPr>
          <w:ilvl w:val="2"/>
          <w:numId w:val="15"/>
        </w:numPr>
        <w:tabs>
          <w:tab w:val="left" w:pos="1701"/>
        </w:tabs>
        <w:spacing w:line="360" w:lineRule="auto"/>
        <w:ind w:left="1701" w:right="118" w:hanging="567"/>
        <w:rPr>
          <w:sz w:val="24"/>
        </w:rPr>
      </w:pPr>
      <w:r w:rsidRPr="00A91583">
        <w:rPr>
          <w:sz w:val="24"/>
          <w:szCs w:val="24"/>
        </w:rPr>
        <w:t>On 1 April 2022, the entrances were block</w:t>
      </w:r>
      <w:r w:rsidRPr="00083184">
        <w:rPr>
          <w:sz w:val="24"/>
        </w:rPr>
        <w:t xml:space="preserve">ed preventing oil tankers from </w:t>
      </w:r>
      <w:r w:rsidRPr="00083184">
        <w:rPr>
          <w:spacing w:val="-2"/>
          <w:sz w:val="24"/>
        </w:rPr>
        <w:t>leaving.</w:t>
      </w:r>
    </w:p>
    <w:p w14:paraId="49A580CB" w14:textId="77777777" w:rsidR="00BB57FF" w:rsidRPr="00083184" w:rsidRDefault="001474D2" w:rsidP="00215DAB">
      <w:pPr>
        <w:pStyle w:val="ListParagraph"/>
        <w:numPr>
          <w:ilvl w:val="2"/>
          <w:numId w:val="15"/>
        </w:numPr>
        <w:tabs>
          <w:tab w:val="left" w:pos="1701"/>
        </w:tabs>
        <w:spacing w:before="158"/>
        <w:ind w:left="1701" w:hanging="567"/>
        <w:rPr>
          <w:sz w:val="24"/>
        </w:rPr>
      </w:pPr>
      <w:r w:rsidRPr="00083184">
        <w:rPr>
          <w:sz w:val="24"/>
        </w:rPr>
        <w:t>On</w:t>
      </w:r>
      <w:r w:rsidRPr="00083184">
        <w:rPr>
          <w:spacing w:val="-3"/>
          <w:sz w:val="24"/>
        </w:rPr>
        <w:t xml:space="preserve"> </w:t>
      </w:r>
      <w:r w:rsidRPr="00083184">
        <w:rPr>
          <w:sz w:val="24"/>
        </w:rPr>
        <w:t>3</w:t>
      </w:r>
      <w:r w:rsidRPr="00083184">
        <w:rPr>
          <w:spacing w:val="-1"/>
          <w:sz w:val="24"/>
        </w:rPr>
        <w:t xml:space="preserve"> </w:t>
      </w:r>
      <w:r w:rsidRPr="00083184">
        <w:rPr>
          <w:sz w:val="24"/>
        </w:rPr>
        <w:t>April</w:t>
      </w:r>
      <w:r w:rsidRPr="00083184">
        <w:rPr>
          <w:spacing w:val="-1"/>
          <w:sz w:val="24"/>
        </w:rPr>
        <w:t xml:space="preserve"> </w:t>
      </w:r>
      <w:r w:rsidRPr="00083184">
        <w:rPr>
          <w:sz w:val="24"/>
        </w:rPr>
        <w:t>2022,</w:t>
      </w:r>
      <w:r w:rsidRPr="00083184">
        <w:rPr>
          <w:spacing w:val="-1"/>
          <w:sz w:val="24"/>
        </w:rPr>
        <w:t xml:space="preserve"> </w:t>
      </w:r>
      <w:r w:rsidRPr="00083184">
        <w:rPr>
          <w:sz w:val="24"/>
        </w:rPr>
        <w:t>it was</w:t>
      </w:r>
      <w:r w:rsidRPr="00083184">
        <w:rPr>
          <w:spacing w:val="-1"/>
          <w:sz w:val="24"/>
        </w:rPr>
        <w:t xml:space="preserve"> </w:t>
      </w:r>
      <w:r w:rsidRPr="00083184">
        <w:rPr>
          <w:sz w:val="24"/>
        </w:rPr>
        <w:t>reported</w:t>
      </w:r>
      <w:r w:rsidRPr="00083184">
        <w:rPr>
          <w:spacing w:val="-1"/>
          <w:sz w:val="24"/>
        </w:rPr>
        <w:t xml:space="preserve"> </w:t>
      </w:r>
      <w:r w:rsidRPr="00083184">
        <w:rPr>
          <w:sz w:val="24"/>
        </w:rPr>
        <w:t>that</w:t>
      </w:r>
      <w:r w:rsidRPr="00083184">
        <w:rPr>
          <w:spacing w:val="-1"/>
          <w:sz w:val="24"/>
        </w:rPr>
        <w:t xml:space="preserve"> </w:t>
      </w:r>
      <w:r w:rsidRPr="00083184">
        <w:rPr>
          <w:sz w:val="24"/>
        </w:rPr>
        <w:t>54</w:t>
      </w:r>
      <w:r w:rsidRPr="00083184">
        <w:rPr>
          <w:spacing w:val="-1"/>
          <w:sz w:val="24"/>
        </w:rPr>
        <w:t xml:space="preserve"> </w:t>
      </w:r>
      <w:r w:rsidRPr="00083184">
        <w:rPr>
          <w:sz w:val="24"/>
        </w:rPr>
        <w:t>arrests were</w:t>
      </w:r>
      <w:r w:rsidRPr="00083184">
        <w:rPr>
          <w:spacing w:val="-2"/>
          <w:sz w:val="24"/>
        </w:rPr>
        <w:t xml:space="preserve"> </w:t>
      </w:r>
      <w:r w:rsidRPr="00083184">
        <w:rPr>
          <w:sz w:val="24"/>
        </w:rPr>
        <w:t>made</w:t>
      </w:r>
      <w:r w:rsidRPr="00083184">
        <w:rPr>
          <w:spacing w:val="-2"/>
          <w:sz w:val="24"/>
        </w:rPr>
        <w:t xml:space="preserve"> </w:t>
      </w:r>
      <w:r w:rsidRPr="00083184">
        <w:rPr>
          <w:sz w:val="24"/>
        </w:rPr>
        <w:t>at</w:t>
      </w:r>
      <w:r w:rsidRPr="00083184">
        <w:rPr>
          <w:spacing w:val="-1"/>
          <w:sz w:val="24"/>
        </w:rPr>
        <w:t xml:space="preserve"> </w:t>
      </w:r>
      <w:r w:rsidRPr="00083184">
        <w:rPr>
          <w:sz w:val="24"/>
        </w:rPr>
        <w:t>Site</w:t>
      </w:r>
      <w:r w:rsidRPr="00083184">
        <w:rPr>
          <w:spacing w:val="-1"/>
          <w:sz w:val="24"/>
        </w:rPr>
        <w:t xml:space="preserve"> </w:t>
      </w:r>
      <w:r w:rsidRPr="00083184">
        <w:rPr>
          <w:spacing w:val="-5"/>
          <w:sz w:val="24"/>
        </w:rPr>
        <w:t>2.</w:t>
      </w:r>
    </w:p>
    <w:p w14:paraId="49A580CC" w14:textId="77777777" w:rsidR="00BB57FF" w:rsidRPr="00083184" w:rsidRDefault="00BB57FF" w:rsidP="00215DAB">
      <w:pPr>
        <w:pStyle w:val="BodyText"/>
        <w:tabs>
          <w:tab w:val="left" w:pos="1701"/>
        </w:tabs>
        <w:spacing w:before="10"/>
        <w:ind w:left="1701" w:hanging="567"/>
        <w:rPr>
          <w:sz w:val="25"/>
        </w:rPr>
      </w:pPr>
    </w:p>
    <w:p w14:paraId="49A580CD" w14:textId="7109337A" w:rsidR="00BB57FF" w:rsidRPr="00083184" w:rsidRDefault="001474D2" w:rsidP="00215DAB">
      <w:pPr>
        <w:pStyle w:val="ListParagraph"/>
        <w:numPr>
          <w:ilvl w:val="2"/>
          <w:numId w:val="15"/>
        </w:numPr>
        <w:tabs>
          <w:tab w:val="left" w:pos="1843"/>
        </w:tabs>
        <w:spacing w:before="1" w:line="360" w:lineRule="auto"/>
        <w:ind w:left="1701" w:right="118" w:hanging="567"/>
        <w:rPr>
          <w:sz w:val="24"/>
        </w:rPr>
      </w:pPr>
      <w:r w:rsidRPr="00083184">
        <w:rPr>
          <w:sz w:val="24"/>
        </w:rPr>
        <w:t>On</w:t>
      </w:r>
      <w:r w:rsidRPr="00083184">
        <w:rPr>
          <w:spacing w:val="-2"/>
          <w:sz w:val="24"/>
        </w:rPr>
        <w:t xml:space="preserve"> </w:t>
      </w:r>
      <w:r w:rsidRPr="00083184">
        <w:rPr>
          <w:sz w:val="24"/>
        </w:rPr>
        <w:t>5</w:t>
      </w:r>
      <w:r w:rsidRPr="00083184">
        <w:rPr>
          <w:spacing w:val="-2"/>
          <w:sz w:val="24"/>
        </w:rPr>
        <w:t xml:space="preserve"> </w:t>
      </w:r>
      <w:r w:rsidRPr="00083184">
        <w:rPr>
          <w:sz w:val="24"/>
        </w:rPr>
        <w:t>April</w:t>
      </w:r>
      <w:r w:rsidRPr="00083184">
        <w:rPr>
          <w:spacing w:val="-2"/>
          <w:sz w:val="24"/>
        </w:rPr>
        <w:t xml:space="preserve"> </w:t>
      </w:r>
      <w:r w:rsidRPr="00083184">
        <w:rPr>
          <w:sz w:val="24"/>
        </w:rPr>
        <w:t>2022,</w:t>
      </w:r>
      <w:r w:rsidRPr="00083184">
        <w:rPr>
          <w:spacing w:val="-2"/>
          <w:sz w:val="24"/>
        </w:rPr>
        <w:t xml:space="preserve"> </w:t>
      </w:r>
      <w:r w:rsidRPr="00083184">
        <w:rPr>
          <w:sz w:val="24"/>
        </w:rPr>
        <w:t>20 activists</w:t>
      </w:r>
      <w:r w:rsidRPr="00083184">
        <w:rPr>
          <w:spacing w:val="-2"/>
          <w:sz w:val="24"/>
        </w:rPr>
        <w:t xml:space="preserve"> </w:t>
      </w:r>
      <w:r w:rsidRPr="00083184">
        <w:rPr>
          <w:sz w:val="24"/>
        </w:rPr>
        <w:t>from</w:t>
      </w:r>
      <w:r w:rsidRPr="00083184">
        <w:rPr>
          <w:spacing w:val="-2"/>
          <w:sz w:val="24"/>
        </w:rPr>
        <w:t xml:space="preserve"> </w:t>
      </w:r>
      <w:r w:rsidRPr="00083184">
        <w:rPr>
          <w:sz w:val="24"/>
        </w:rPr>
        <w:t>Just</w:t>
      </w:r>
      <w:r w:rsidRPr="00083184">
        <w:rPr>
          <w:spacing w:val="-2"/>
          <w:sz w:val="24"/>
        </w:rPr>
        <w:t xml:space="preserve"> </w:t>
      </w:r>
      <w:r w:rsidRPr="00083184">
        <w:rPr>
          <w:sz w:val="24"/>
        </w:rPr>
        <w:t>Stop</w:t>
      </w:r>
      <w:r w:rsidRPr="00083184">
        <w:rPr>
          <w:spacing w:val="-2"/>
          <w:sz w:val="24"/>
        </w:rPr>
        <w:t xml:space="preserve"> </w:t>
      </w:r>
      <w:r w:rsidRPr="00083184">
        <w:rPr>
          <w:sz w:val="24"/>
        </w:rPr>
        <w:t>Oil</w:t>
      </w:r>
      <w:r w:rsidRPr="00083184">
        <w:rPr>
          <w:spacing w:val="-2"/>
          <w:sz w:val="24"/>
        </w:rPr>
        <w:t xml:space="preserve"> </w:t>
      </w:r>
      <w:r w:rsidRPr="00083184">
        <w:rPr>
          <w:sz w:val="24"/>
        </w:rPr>
        <w:t>blocked</w:t>
      </w:r>
      <w:r w:rsidRPr="00083184">
        <w:rPr>
          <w:spacing w:val="-2"/>
          <w:sz w:val="24"/>
        </w:rPr>
        <w:t xml:space="preserve"> </w:t>
      </w:r>
      <w:r w:rsidRPr="00083184">
        <w:rPr>
          <w:sz w:val="24"/>
        </w:rPr>
        <w:t>the</w:t>
      </w:r>
      <w:r w:rsidRPr="00083184">
        <w:rPr>
          <w:spacing w:val="-1"/>
          <w:sz w:val="24"/>
        </w:rPr>
        <w:t xml:space="preserve"> </w:t>
      </w:r>
      <w:r w:rsidRPr="00083184">
        <w:rPr>
          <w:sz w:val="24"/>
        </w:rPr>
        <w:t>entrance</w:t>
      </w:r>
      <w:r w:rsidRPr="00083184">
        <w:rPr>
          <w:spacing w:val="-3"/>
          <w:sz w:val="24"/>
        </w:rPr>
        <w:t xml:space="preserve"> </w:t>
      </w:r>
      <w:r w:rsidRPr="00083184">
        <w:rPr>
          <w:sz w:val="24"/>
        </w:rPr>
        <w:t>to</w:t>
      </w:r>
      <w:r w:rsidRPr="00083184">
        <w:rPr>
          <w:spacing w:val="-2"/>
          <w:sz w:val="24"/>
        </w:rPr>
        <w:t xml:space="preserve"> </w:t>
      </w:r>
      <w:r w:rsidRPr="00083184">
        <w:rPr>
          <w:sz w:val="24"/>
        </w:rPr>
        <w:t>Site</w:t>
      </w:r>
      <w:r w:rsidRPr="00083184">
        <w:rPr>
          <w:spacing w:val="-3"/>
          <w:sz w:val="24"/>
        </w:rPr>
        <w:t xml:space="preserve"> </w:t>
      </w:r>
      <w:r w:rsidRPr="00083184">
        <w:rPr>
          <w:sz w:val="24"/>
        </w:rPr>
        <w:t>2. Warwickshire Police indicated that it had arrested 8 people that day.</w:t>
      </w:r>
    </w:p>
    <w:p w14:paraId="49A580CE" w14:textId="77777777" w:rsidR="00BB57FF" w:rsidRPr="00083184" w:rsidRDefault="001474D2" w:rsidP="00215DAB">
      <w:pPr>
        <w:pStyle w:val="ListParagraph"/>
        <w:numPr>
          <w:ilvl w:val="2"/>
          <w:numId w:val="15"/>
        </w:numPr>
        <w:tabs>
          <w:tab w:val="left" w:pos="1843"/>
          <w:tab w:val="left" w:pos="1985"/>
        </w:tabs>
        <w:spacing w:before="160" w:line="360" w:lineRule="auto"/>
        <w:ind w:left="1701" w:right="118" w:hanging="567"/>
        <w:rPr>
          <w:sz w:val="24"/>
        </w:rPr>
      </w:pPr>
      <w:r w:rsidRPr="00083184">
        <w:rPr>
          <w:sz w:val="24"/>
        </w:rPr>
        <w:t>On</w:t>
      </w:r>
      <w:r w:rsidRPr="00083184">
        <w:rPr>
          <w:spacing w:val="-2"/>
          <w:sz w:val="24"/>
        </w:rPr>
        <w:t xml:space="preserve"> </w:t>
      </w:r>
      <w:r w:rsidRPr="00083184">
        <w:rPr>
          <w:sz w:val="24"/>
        </w:rPr>
        <w:t>7</w:t>
      </w:r>
      <w:r w:rsidRPr="00083184">
        <w:rPr>
          <w:spacing w:val="-2"/>
          <w:sz w:val="24"/>
        </w:rPr>
        <w:t xml:space="preserve"> </w:t>
      </w:r>
      <w:r w:rsidRPr="00083184">
        <w:rPr>
          <w:sz w:val="24"/>
        </w:rPr>
        <w:t>April</w:t>
      </w:r>
      <w:r w:rsidRPr="00083184">
        <w:rPr>
          <w:spacing w:val="-2"/>
          <w:sz w:val="24"/>
        </w:rPr>
        <w:t xml:space="preserve"> </w:t>
      </w:r>
      <w:r w:rsidRPr="00083184">
        <w:rPr>
          <w:sz w:val="24"/>
        </w:rPr>
        <w:t>2022,</w:t>
      </w:r>
      <w:r w:rsidRPr="00083184">
        <w:rPr>
          <w:spacing w:val="-2"/>
          <w:sz w:val="24"/>
        </w:rPr>
        <w:t xml:space="preserve"> </w:t>
      </w:r>
      <w:r w:rsidRPr="00083184">
        <w:rPr>
          <w:sz w:val="24"/>
        </w:rPr>
        <w:t>supporters</w:t>
      </w:r>
      <w:r w:rsidRPr="00083184">
        <w:rPr>
          <w:spacing w:val="-2"/>
          <w:sz w:val="24"/>
        </w:rPr>
        <w:t xml:space="preserve"> </w:t>
      </w:r>
      <w:r w:rsidRPr="00083184">
        <w:rPr>
          <w:sz w:val="24"/>
        </w:rPr>
        <w:t>of</w:t>
      </w:r>
      <w:r w:rsidRPr="00083184">
        <w:rPr>
          <w:spacing w:val="-1"/>
          <w:sz w:val="24"/>
        </w:rPr>
        <w:t xml:space="preserve"> </w:t>
      </w:r>
      <w:r w:rsidRPr="00083184">
        <w:rPr>
          <w:sz w:val="24"/>
        </w:rPr>
        <w:t>Just</w:t>
      </w:r>
      <w:r w:rsidRPr="00083184">
        <w:rPr>
          <w:spacing w:val="-2"/>
          <w:sz w:val="24"/>
        </w:rPr>
        <w:t xml:space="preserve"> </w:t>
      </w:r>
      <w:r w:rsidRPr="00083184">
        <w:rPr>
          <w:sz w:val="24"/>
        </w:rPr>
        <w:t>Stop</w:t>
      </w:r>
      <w:r w:rsidRPr="00083184">
        <w:rPr>
          <w:spacing w:val="-2"/>
          <w:sz w:val="24"/>
        </w:rPr>
        <w:t xml:space="preserve"> </w:t>
      </w:r>
      <w:r w:rsidRPr="00083184">
        <w:rPr>
          <w:sz w:val="24"/>
        </w:rPr>
        <w:t>Oil</w:t>
      </w:r>
      <w:r w:rsidRPr="00083184">
        <w:rPr>
          <w:spacing w:val="-2"/>
          <w:sz w:val="24"/>
        </w:rPr>
        <w:t xml:space="preserve"> </w:t>
      </w:r>
      <w:r w:rsidRPr="00083184">
        <w:rPr>
          <w:sz w:val="24"/>
        </w:rPr>
        <w:t>blocked</w:t>
      </w:r>
      <w:r w:rsidRPr="00083184">
        <w:rPr>
          <w:spacing w:val="-2"/>
          <w:sz w:val="24"/>
        </w:rPr>
        <w:t xml:space="preserve"> </w:t>
      </w:r>
      <w:r w:rsidRPr="00083184">
        <w:rPr>
          <w:sz w:val="24"/>
        </w:rPr>
        <w:t>the</w:t>
      </w:r>
      <w:r w:rsidRPr="00083184">
        <w:rPr>
          <w:spacing w:val="-1"/>
          <w:sz w:val="24"/>
        </w:rPr>
        <w:t xml:space="preserve"> </w:t>
      </w:r>
      <w:r w:rsidRPr="00083184">
        <w:rPr>
          <w:sz w:val="24"/>
        </w:rPr>
        <w:t>entrance</w:t>
      </w:r>
      <w:r w:rsidRPr="00083184">
        <w:rPr>
          <w:spacing w:val="-3"/>
          <w:sz w:val="24"/>
        </w:rPr>
        <w:t xml:space="preserve"> </w:t>
      </w:r>
      <w:r w:rsidRPr="00083184">
        <w:rPr>
          <w:sz w:val="24"/>
        </w:rPr>
        <w:t>to Site</w:t>
      </w:r>
      <w:r w:rsidRPr="00083184">
        <w:rPr>
          <w:spacing w:val="-3"/>
          <w:sz w:val="24"/>
        </w:rPr>
        <w:t xml:space="preserve"> </w:t>
      </w:r>
      <w:r w:rsidRPr="00083184">
        <w:rPr>
          <w:sz w:val="24"/>
        </w:rPr>
        <w:t>2 and claimed that individuals were inside Kingsbury oil terminal (albeit not those parts that comprise part of Site 2).</w:t>
      </w:r>
    </w:p>
    <w:p w14:paraId="572952F2" w14:textId="1B70F3B3" w:rsidR="004231F0" w:rsidRPr="00083184" w:rsidRDefault="001474D2" w:rsidP="004231F0">
      <w:pPr>
        <w:pStyle w:val="ListParagraph"/>
        <w:numPr>
          <w:ilvl w:val="0"/>
          <w:numId w:val="15"/>
        </w:numPr>
        <w:tabs>
          <w:tab w:val="left" w:pos="567"/>
        </w:tabs>
        <w:spacing w:before="160" w:line="360" w:lineRule="auto"/>
        <w:ind w:left="567" w:right="118" w:hanging="567"/>
        <w:rPr>
          <w:sz w:val="24"/>
        </w:rPr>
      </w:pPr>
      <w:r w:rsidRPr="00083184">
        <w:rPr>
          <w:sz w:val="24"/>
        </w:rPr>
        <w:lastRenderedPageBreak/>
        <w:t xml:space="preserve">As such, </w:t>
      </w:r>
      <w:r w:rsidR="00215DAB" w:rsidRPr="00083184">
        <w:rPr>
          <w:sz w:val="24"/>
        </w:rPr>
        <w:t>at the hearings before Peter Knox KC, there had</w:t>
      </w:r>
      <w:r w:rsidRPr="00083184">
        <w:rPr>
          <w:sz w:val="24"/>
        </w:rPr>
        <w:t xml:space="preserve"> been acts of trespass committed on Site 1</w:t>
      </w:r>
      <w:r w:rsidR="00AF6F8B" w:rsidRPr="00083184">
        <w:rPr>
          <w:sz w:val="24"/>
        </w:rPr>
        <w:t xml:space="preserve"> and, though t</w:t>
      </w:r>
      <w:r w:rsidRPr="00083184">
        <w:rPr>
          <w:sz w:val="24"/>
        </w:rPr>
        <w:t xml:space="preserve">here </w:t>
      </w:r>
      <w:r w:rsidR="00AF6F8B" w:rsidRPr="00083184">
        <w:rPr>
          <w:sz w:val="24"/>
        </w:rPr>
        <w:t>had</w:t>
      </w:r>
      <w:r w:rsidRPr="00083184">
        <w:rPr>
          <w:sz w:val="24"/>
        </w:rPr>
        <w:t xml:space="preserve"> not been acts of trespass committed on Site 2 </w:t>
      </w:r>
      <w:r w:rsidR="00AF6F8B" w:rsidRPr="00083184">
        <w:rPr>
          <w:sz w:val="24"/>
        </w:rPr>
        <w:t xml:space="preserve">at that stage, </w:t>
      </w:r>
      <w:r w:rsidRPr="00083184">
        <w:rPr>
          <w:sz w:val="24"/>
        </w:rPr>
        <w:t>the</w:t>
      </w:r>
      <w:r w:rsidRPr="00083184">
        <w:rPr>
          <w:spacing w:val="-8"/>
          <w:sz w:val="24"/>
        </w:rPr>
        <w:t xml:space="preserve"> </w:t>
      </w:r>
      <w:r w:rsidRPr="00083184">
        <w:rPr>
          <w:sz w:val="24"/>
        </w:rPr>
        <w:t>Claimants</w:t>
      </w:r>
      <w:r w:rsidRPr="00083184">
        <w:rPr>
          <w:spacing w:val="-9"/>
          <w:sz w:val="24"/>
        </w:rPr>
        <w:t xml:space="preserve"> </w:t>
      </w:r>
      <w:r w:rsidRPr="00083184">
        <w:rPr>
          <w:sz w:val="24"/>
        </w:rPr>
        <w:t>ha</w:t>
      </w:r>
      <w:r w:rsidR="00AF6F8B" w:rsidRPr="00083184">
        <w:rPr>
          <w:sz w:val="24"/>
        </w:rPr>
        <w:t>d</w:t>
      </w:r>
      <w:r w:rsidRPr="00083184">
        <w:rPr>
          <w:spacing w:val="-8"/>
          <w:sz w:val="24"/>
        </w:rPr>
        <w:t xml:space="preserve"> </w:t>
      </w:r>
      <w:r w:rsidRPr="00083184">
        <w:rPr>
          <w:sz w:val="24"/>
        </w:rPr>
        <w:t xml:space="preserve">good reason to believe that there </w:t>
      </w:r>
      <w:r w:rsidR="00AF6F8B" w:rsidRPr="00083184">
        <w:rPr>
          <w:sz w:val="24"/>
        </w:rPr>
        <w:t>was</w:t>
      </w:r>
      <w:r w:rsidRPr="00083184">
        <w:rPr>
          <w:sz w:val="24"/>
        </w:rPr>
        <w:t xml:space="preserve"> a real and imminent risk of such action.</w:t>
      </w:r>
      <w:r w:rsidR="00626449" w:rsidRPr="00083184">
        <w:rPr>
          <w:sz w:val="24"/>
        </w:rPr>
        <w:t xml:space="preserve"> It was on this basis that the </w:t>
      </w:r>
      <w:r w:rsidR="00A91583">
        <w:rPr>
          <w:sz w:val="24"/>
        </w:rPr>
        <w:t>First and Second Knox Orders were</w:t>
      </w:r>
      <w:r w:rsidR="00626449" w:rsidRPr="00083184">
        <w:rPr>
          <w:sz w:val="24"/>
        </w:rPr>
        <w:t xml:space="preserve"> </w:t>
      </w:r>
      <w:r w:rsidR="00727AD2">
        <w:rPr>
          <w:sz w:val="24"/>
        </w:rPr>
        <w:t>granted</w:t>
      </w:r>
      <w:r w:rsidR="00626449" w:rsidRPr="00083184">
        <w:rPr>
          <w:sz w:val="24"/>
        </w:rPr>
        <w:t xml:space="preserve">. </w:t>
      </w:r>
    </w:p>
    <w:p w14:paraId="49A580D5" w14:textId="1084D7EA" w:rsidR="00BB57FF" w:rsidRPr="00214559" w:rsidRDefault="001D093B" w:rsidP="00214559">
      <w:pPr>
        <w:pStyle w:val="ListParagraph"/>
        <w:numPr>
          <w:ilvl w:val="0"/>
          <w:numId w:val="15"/>
        </w:numPr>
        <w:tabs>
          <w:tab w:val="left" w:pos="567"/>
        </w:tabs>
        <w:spacing w:before="160" w:line="360" w:lineRule="auto"/>
        <w:ind w:left="567" w:right="118" w:hanging="567"/>
        <w:rPr>
          <w:sz w:val="24"/>
        </w:rPr>
      </w:pPr>
      <w:r w:rsidRPr="008547D4">
        <w:rPr>
          <w:sz w:val="24"/>
          <w:szCs w:val="24"/>
        </w:rPr>
        <w:t>Armstrong 1</w:t>
      </w:r>
      <w:r w:rsidR="008547D4" w:rsidRPr="008547D4">
        <w:rPr>
          <w:sz w:val="24"/>
          <w:szCs w:val="24"/>
        </w:rPr>
        <w:t xml:space="preserve"> refers in detail, at </w:t>
      </w:r>
      <w:r w:rsidR="008547D4" w:rsidRPr="00E23145">
        <w:rPr>
          <w:sz w:val="24"/>
          <w:szCs w:val="24"/>
        </w:rPr>
        <w:t>§</w:t>
      </w:r>
      <w:r w:rsidR="00E23145" w:rsidRPr="00E23145">
        <w:rPr>
          <w:sz w:val="24"/>
          <w:szCs w:val="24"/>
        </w:rPr>
        <w:t>§</w:t>
      </w:r>
      <w:r w:rsidR="008547D4" w:rsidRPr="00E23145">
        <w:rPr>
          <w:sz w:val="24"/>
          <w:szCs w:val="24"/>
        </w:rPr>
        <w:t>46-49, to related incidents of direct action targeting other fuel terminals and associated energy infrastructure across the UK and</w:t>
      </w:r>
      <w:r w:rsidR="00851A8D" w:rsidRPr="008547D4">
        <w:rPr>
          <w:sz w:val="24"/>
          <w:szCs w:val="24"/>
        </w:rPr>
        <w:t xml:space="preserve"> </w:t>
      </w:r>
      <w:r w:rsidR="008547D4">
        <w:rPr>
          <w:sz w:val="24"/>
          <w:szCs w:val="24"/>
        </w:rPr>
        <w:t xml:space="preserve">statements of commitment by Extinction Rebellion to continue their campaign. He also </w:t>
      </w:r>
      <w:r w:rsidR="001474D2" w:rsidRPr="008547D4">
        <w:rPr>
          <w:sz w:val="24"/>
          <w:szCs w:val="24"/>
        </w:rPr>
        <w:t>set</w:t>
      </w:r>
      <w:r w:rsidR="00727AD2" w:rsidRPr="008547D4">
        <w:rPr>
          <w:sz w:val="24"/>
          <w:szCs w:val="24"/>
        </w:rPr>
        <w:t>s</w:t>
      </w:r>
      <w:r w:rsidR="001474D2" w:rsidRPr="008547D4">
        <w:rPr>
          <w:sz w:val="24"/>
          <w:szCs w:val="24"/>
        </w:rPr>
        <w:t xml:space="preserve"> out in</w:t>
      </w:r>
      <w:r w:rsidR="001474D2" w:rsidRPr="00083184">
        <w:rPr>
          <w:sz w:val="24"/>
        </w:rPr>
        <w:t xml:space="preserve"> detail, at </w:t>
      </w:r>
      <w:r w:rsidR="006F4AF7">
        <w:t>§§</w:t>
      </w:r>
      <w:r w:rsidR="001474D2" w:rsidRPr="00083184">
        <w:rPr>
          <w:sz w:val="24"/>
        </w:rPr>
        <w:t>18-42, 5</w:t>
      </w:r>
      <w:r w:rsidR="001474D2" w:rsidRPr="00901144">
        <w:rPr>
          <w:sz w:val="24"/>
          <w:szCs w:val="24"/>
        </w:rPr>
        <w:t>1 and 61, the significant risk of damage and/or injury to persons and property, including the trespassers themselves</w:t>
      </w:r>
      <w:r w:rsidR="001474D2" w:rsidRPr="00214559">
        <w:rPr>
          <w:sz w:val="24"/>
          <w:szCs w:val="24"/>
        </w:rPr>
        <w:t>.</w:t>
      </w:r>
    </w:p>
    <w:p w14:paraId="339F025A" w14:textId="77777777" w:rsidR="009D2F8E" w:rsidRPr="002B5CD2" w:rsidRDefault="009D2F8E" w:rsidP="009D2F8E">
      <w:pPr>
        <w:tabs>
          <w:tab w:val="left" w:pos="567"/>
        </w:tabs>
        <w:spacing w:before="160" w:line="360" w:lineRule="auto"/>
        <w:ind w:right="118"/>
        <w:rPr>
          <w:sz w:val="8"/>
          <w:szCs w:val="8"/>
        </w:rPr>
      </w:pPr>
    </w:p>
    <w:p w14:paraId="1F4664BA" w14:textId="22AE7AE0" w:rsidR="009D2F8E" w:rsidRPr="009D2F8E" w:rsidRDefault="00B763C1" w:rsidP="009D2F8E">
      <w:pPr>
        <w:pStyle w:val="ListParagraph"/>
        <w:numPr>
          <w:ilvl w:val="0"/>
          <w:numId w:val="19"/>
        </w:numPr>
        <w:tabs>
          <w:tab w:val="left" w:pos="567"/>
        </w:tabs>
        <w:spacing w:before="160" w:line="360" w:lineRule="auto"/>
        <w:ind w:left="1134" w:right="118" w:hanging="567"/>
        <w:rPr>
          <w:b/>
          <w:bCs/>
          <w:sz w:val="24"/>
        </w:rPr>
      </w:pPr>
      <w:r>
        <w:rPr>
          <w:b/>
          <w:bCs/>
          <w:sz w:val="24"/>
        </w:rPr>
        <w:t>Review hearing before Rajah J</w:t>
      </w:r>
    </w:p>
    <w:p w14:paraId="68215A1D" w14:textId="220D0AB4" w:rsidR="005A49CD" w:rsidRDefault="009E7386" w:rsidP="00857519">
      <w:pPr>
        <w:pStyle w:val="ListParagraph"/>
        <w:numPr>
          <w:ilvl w:val="0"/>
          <w:numId w:val="15"/>
        </w:numPr>
        <w:tabs>
          <w:tab w:val="left" w:pos="567"/>
        </w:tabs>
        <w:spacing w:before="160" w:line="360" w:lineRule="auto"/>
        <w:ind w:left="567" w:right="118" w:hanging="567"/>
        <w:rPr>
          <w:sz w:val="24"/>
        </w:rPr>
      </w:pPr>
      <w:r>
        <w:rPr>
          <w:sz w:val="24"/>
        </w:rPr>
        <w:t xml:space="preserve">The review hearing took place on </w:t>
      </w:r>
      <w:r w:rsidR="00CA0A3C">
        <w:rPr>
          <w:sz w:val="24"/>
        </w:rPr>
        <w:t xml:space="preserve">20 April 2023. </w:t>
      </w:r>
      <w:r w:rsidR="005A49CD">
        <w:rPr>
          <w:sz w:val="24"/>
        </w:rPr>
        <w:t xml:space="preserve">Although </w:t>
      </w:r>
      <w:r w:rsidR="00E27FE6">
        <w:rPr>
          <w:sz w:val="24"/>
        </w:rPr>
        <w:t>t</w:t>
      </w:r>
      <w:r w:rsidR="00EF2A95">
        <w:rPr>
          <w:sz w:val="24"/>
        </w:rPr>
        <w:t xml:space="preserve">here had been no direct action at the Sites </w:t>
      </w:r>
      <w:r w:rsidR="008547D4">
        <w:rPr>
          <w:sz w:val="24"/>
        </w:rPr>
        <w:t xml:space="preserve">themselves </w:t>
      </w:r>
      <w:r w:rsidR="00E0679C">
        <w:rPr>
          <w:sz w:val="24"/>
        </w:rPr>
        <w:t>since</w:t>
      </w:r>
      <w:r w:rsidR="00705233">
        <w:rPr>
          <w:sz w:val="24"/>
        </w:rPr>
        <w:t xml:space="preserve"> the Second Knox Order</w:t>
      </w:r>
      <w:r w:rsidR="005A49CD">
        <w:rPr>
          <w:sz w:val="24"/>
        </w:rPr>
        <w:t xml:space="preserve">, </w:t>
      </w:r>
      <w:r w:rsidR="00E96002">
        <w:rPr>
          <w:sz w:val="24"/>
        </w:rPr>
        <w:t xml:space="preserve">the Third Witness Statement of John </w:t>
      </w:r>
      <w:r w:rsidR="005A49CD">
        <w:rPr>
          <w:sz w:val="24"/>
        </w:rPr>
        <w:t>Armstrong</w:t>
      </w:r>
      <w:r w:rsidR="00E96002">
        <w:rPr>
          <w:sz w:val="24"/>
        </w:rPr>
        <w:t xml:space="preserve">, dated 5 </w:t>
      </w:r>
      <w:r w:rsidR="007A55F8">
        <w:rPr>
          <w:sz w:val="24"/>
        </w:rPr>
        <w:t>April</w:t>
      </w:r>
      <w:r w:rsidR="00E96002">
        <w:rPr>
          <w:sz w:val="24"/>
        </w:rPr>
        <w:t xml:space="preserve"> 2023 (“</w:t>
      </w:r>
      <w:r w:rsidR="00E96002" w:rsidRPr="00E96002">
        <w:rPr>
          <w:b/>
          <w:bCs/>
          <w:sz w:val="24"/>
        </w:rPr>
        <w:t>Armstrong 3</w:t>
      </w:r>
      <w:r w:rsidR="00E96002">
        <w:rPr>
          <w:sz w:val="24"/>
        </w:rPr>
        <w:t>”)</w:t>
      </w:r>
      <w:r w:rsidR="00ED589F">
        <w:rPr>
          <w:sz w:val="24"/>
        </w:rPr>
        <w:t xml:space="preserve">, </w:t>
      </w:r>
      <w:r w:rsidR="00CE588A">
        <w:t>§§</w:t>
      </w:r>
      <w:r w:rsidR="00800823">
        <w:t>23-52</w:t>
      </w:r>
      <w:r w:rsidR="00CB2340">
        <w:rPr>
          <w:sz w:val="24"/>
        </w:rPr>
        <w:t>,</w:t>
      </w:r>
      <w:r w:rsidR="005A49CD">
        <w:rPr>
          <w:sz w:val="24"/>
        </w:rPr>
        <w:t xml:space="preserve"> set out the significant continuing threat posed by the Defendants</w:t>
      </w:r>
      <w:r w:rsidR="00E0679C">
        <w:rPr>
          <w:sz w:val="24"/>
        </w:rPr>
        <w:t xml:space="preserve"> </w:t>
      </w:r>
      <w:r w:rsidR="00E0679C">
        <w:rPr>
          <w:b/>
          <w:bCs/>
          <w:sz w:val="24"/>
        </w:rPr>
        <w:t>[</w:t>
      </w:r>
      <w:r w:rsidR="00214559">
        <w:rPr>
          <w:b/>
          <w:bCs/>
          <w:sz w:val="24"/>
        </w:rPr>
        <w:t>HB/</w:t>
      </w:r>
      <w:r w:rsidR="006F36D5">
        <w:rPr>
          <w:b/>
          <w:bCs/>
          <w:sz w:val="24"/>
        </w:rPr>
        <w:t>206</w:t>
      </w:r>
      <w:r w:rsidR="00E0679C">
        <w:rPr>
          <w:b/>
          <w:bCs/>
          <w:sz w:val="24"/>
        </w:rPr>
        <w:t>]</w:t>
      </w:r>
      <w:r w:rsidR="00705233">
        <w:rPr>
          <w:sz w:val="24"/>
        </w:rPr>
        <w:t>.</w:t>
      </w:r>
      <w:r w:rsidR="009F42BB">
        <w:rPr>
          <w:sz w:val="24"/>
        </w:rPr>
        <w:t xml:space="preserve"> </w:t>
      </w:r>
    </w:p>
    <w:p w14:paraId="1F68FBD5" w14:textId="6D73FEE7" w:rsidR="00917B80" w:rsidRPr="00857519" w:rsidRDefault="00DE2576" w:rsidP="00857519">
      <w:pPr>
        <w:pStyle w:val="ListParagraph"/>
        <w:numPr>
          <w:ilvl w:val="0"/>
          <w:numId w:val="15"/>
        </w:numPr>
        <w:tabs>
          <w:tab w:val="left" w:pos="567"/>
        </w:tabs>
        <w:spacing w:before="160" w:line="360" w:lineRule="auto"/>
        <w:ind w:left="567" w:right="118" w:hanging="567"/>
        <w:rPr>
          <w:sz w:val="24"/>
        </w:rPr>
      </w:pPr>
      <w:r w:rsidRPr="00DE2576">
        <w:rPr>
          <w:sz w:val="24"/>
        </w:rPr>
        <w:t>In the course of the hearing</w:t>
      </w:r>
      <w:r>
        <w:rPr>
          <w:sz w:val="24"/>
        </w:rPr>
        <w:t>,</w:t>
      </w:r>
      <w:r>
        <w:rPr>
          <w:rStyle w:val="FootnoteReference"/>
          <w:sz w:val="24"/>
        </w:rPr>
        <w:footnoteReference w:id="9"/>
      </w:r>
      <w:r w:rsidRPr="00DE2576">
        <w:rPr>
          <w:sz w:val="24"/>
        </w:rPr>
        <w:t xml:space="preserve"> Rajah J considered the fact that there had been no further acts of trespass and no further acts of interference since the injunctions were granted </w:t>
      </w:r>
      <w:r w:rsidR="00981F1D" w:rsidRPr="00981F1D">
        <w:rPr>
          <w:b/>
          <w:bCs/>
          <w:sz w:val="24"/>
        </w:rPr>
        <w:t>(se</w:t>
      </w:r>
      <w:r w:rsidR="006F36D5">
        <w:rPr>
          <w:b/>
          <w:bCs/>
          <w:sz w:val="24"/>
        </w:rPr>
        <w:t xml:space="preserve">e </w:t>
      </w:r>
      <w:r w:rsidR="00013A6E">
        <w:rPr>
          <w:b/>
          <w:bCs/>
          <w:sz w:val="24"/>
        </w:rPr>
        <w:t>[</w:t>
      </w:r>
      <w:r w:rsidR="006F36D5">
        <w:rPr>
          <w:b/>
          <w:bCs/>
          <w:sz w:val="24"/>
        </w:rPr>
        <w:t>HB/3</w:t>
      </w:r>
      <w:r w:rsidR="006F36D5" w:rsidRPr="006F36D5">
        <w:rPr>
          <w:b/>
          <w:bCs/>
          <w:sz w:val="24"/>
        </w:rPr>
        <w:t>70</w:t>
      </w:r>
      <w:r w:rsidRPr="006F36D5">
        <w:rPr>
          <w:b/>
          <w:bCs/>
          <w:sz w:val="24"/>
        </w:rPr>
        <w:t>G-H</w:t>
      </w:r>
      <w:r w:rsidR="00013A6E">
        <w:rPr>
          <w:b/>
          <w:bCs/>
          <w:sz w:val="24"/>
        </w:rPr>
        <w:t>]</w:t>
      </w:r>
      <w:r w:rsidR="00981F1D" w:rsidRPr="00981F1D">
        <w:rPr>
          <w:b/>
          <w:bCs/>
          <w:sz w:val="24"/>
        </w:rPr>
        <w:t>)</w:t>
      </w:r>
      <w:r w:rsidRPr="00DE2576">
        <w:rPr>
          <w:sz w:val="24"/>
        </w:rPr>
        <w:t xml:space="preserve"> but accepted that there nevertheless continued to be a real risk of further acts of trespass and nuisance having regard to the evidence as a whole, which included: the direct action that had already taken place at the Sites and at other oil terminals in 2022; the evidence of subsequent direct action targeting the oil industry and other oil infrastructure</w:t>
      </w:r>
      <w:r w:rsidR="00B17DCA">
        <w:rPr>
          <w:sz w:val="24"/>
        </w:rPr>
        <w:t xml:space="preserve"> (</w:t>
      </w:r>
      <w:r w:rsidR="00B17DCA" w:rsidRPr="00013A6E">
        <w:rPr>
          <w:b/>
          <w:bCs/>
          <w:sz w:val="24"/>
        </w:rPr>
        <w:t>see</w:t>
      </w:r>
      <w:r w:rsidR="00013A6E" w:rsidRPr="00013A6E">
        <w:rPr>
          <w:b/>
          <w:bCs/>
          <w:sz w:val="24"/>
        </w:rPr>
        <w:t xml:space="preserve"> </w:t>
      </w:r>
      <w:r w:rsidR="00013A6E">
        <w:rPr>
          <w:b/>
          <w:bCs/>
          <w:sz w:val="24"/>
        </w:rPr>
        <w:t>[</w:t>
      </w:r>
      <w:r w:rsidR="00013A6E" w:rsidRPr="00013A6E">
        <w:rPr>
          <w:b/>
          <w:bCs/>
          <w:sz w:val="24"/>
        </w:rPr>
        <w:t>HB/373</w:t>
      </w:r>
      <w:r w:rsidRPr="00013A6E">
        <w:rPr>
          <w:b/>
          <w:bCs/>
          <w:sz w:val="24"/>
        </w:rPr>
        <w:t>C-D</w:t>
      </w:r>
      <w:r w:rsidR="00013A6E">
        <w:rPr>
          <w:b/>
          <w:bCs/>
          <w:sz w:val="24"/>
        </w:rPr>
        <w:t>]</w:t>
      </w:r>
      <w:r w:rsidR="00B17DCA">
        <w:rPr>
          <w:sz w:val="24"/>
        </w:rPr>
        <w:t>)</w:t>
      </w:r>
      <w:r w:rsidRPr="00DE2576">
        <w:rPr>
          <w:sz w:val="24"/>
        </w:rPr>
        <w:t xml:space="preserve">; and, the continued statements by environmental protestors to carry on with their direct action campaign aimed at the energy sector. In his view, the implication was that there was a risk that direct action aimed at those in the Claimants’ position would escalate or resume but for the injunctions.  </w:t>
      </w:r>
      <w:r w:rsidR="00B02926">
        <w:rPr>
          <w:sz w:val="24"/>
        </w:rPr>
        <w:t xml:space="preserve"> </w:t>
      </w:r>
      <w:r w:rsidR="00BF419A">
        <w:rPr>
          <w:sz w:val="24"/>
        </w:rPr>
        <w:t xml:space="preserve"> </w:t>
      </w:r>
    </w:p>
    <w:p w14:paraId="3CDE4837" w14:textId="77777777" w:rsidR="00240F86" w:rsidRPr="005D4AB2" w:rsidRDefault="00240F86" w:rsidP="00240F86">
      <w:pPr>
        <w:pStyle w:val="ListParagraph"/>
        <w:tabs>
          <w:tab w:val="left" w:pos="567"/>
        </w:tabs>
        <w:spacing w:before="160" w:line="360" w:lineRule="auto"/>
        <w:ind w:left="567" w:right="118" w:firstLine="0"/>
        <w:rPr>
          <w:sz w:val="6"/>
          <w:szCs w:val="6"/>
        </w:rPr>
      </w:pPr>
    </w:p>
    <w:p w14:paraId="58AF826E" w14:textId="6F402DB8" w:rsidR="00240F86" w:rsidRPr="00240F86" w:rsidRDefault="00240F86" w:rsidP="00240F86">
      <w:pPr>
        <w:pStyle w:val="ListParagraph"/>
        <w:numPr>
          <w:ilvl w:val="0"/>
          <w:numId w:val="19"/>
        </w:numPr>
        <w:tabs>
          <w:tab w:val="left" w:pos="567"/>
        </w:tabs>
        <w:spacing w:before="160" w:line="360" w:lineRule="auto"/>
        <w:ind w:left="1134" w:right="118" w:hanging="567"/>
        <w:rPr>
          <w:b/>
          <w:bCs/>
          <w:sz w:val="24"/>
        </w:rPr>
      </w:pPr>
      <w:r>
        <w:rPr>
          <w:b/>
          <w:bCs/>
          <w:sz w:val="24"/>
        </w:rPr>
        <w:t>Other injunctions granted to energy sector</w:t>
      </w:r>
    </w:p>
    <w:p w14:paraId="5D4B5750" w14:textId="647025A7" w:rsidR="001824CF" w:rsidRDefault="005D00CE" w:rsidP="00857519">
      <w:pPr>
        <w:pStyle w:val="ListParagraph"/>
        <w:numPr>
          <w:ilvl w:val="0"/>
          <w:numId w:val="15"/>
        </w:numPr>
        <w:tabs>
          <w:tab w:val="left" w:pos="567"/>
        </w:tabs>
        <w:spacing w:before="160" w:line="360" w:lineRule="auto"/>
        <w:ind w:left="567" w:right="118" w:hanging="567"/>
        <w:rPr>
          <w:sz w:val="24"/>
        </w:rPr>
      </w:pPr>
      <w:r>
        <w:rPr>
          <w:sz w:val="24"/>
        </w:rPr>
        <w:t xml:space="preserve">There have been a number of </w:t>
      </w:r>
      <w:r w:rsidR="00F833CF">
        <w:rPr>
          <w:sz w:val="24"/>
        </w:rPr>
        <w:t xml:space="preserve">interim and final injunctions granted </w:t>
      </w:r>
      <w:r w:rsidR="00074BB0">
        <w:rPr>
          <w:sz w:val="24"/>
        </w:rPr>
        <w:t>in relation to</w:t>
      </w:r>
      <w:r w:rsidR="00A8754E">
        <w:rPr>
          <w:sz w:val="24"/>
        </w:rPr>
        <w:t xml:space="preserve"> direct action</w:t>
      </w:r>
      <w:r w:rsidR="00074BB0">
        <w:rPr>
          <w:sz w:val="24"/>
        </w:rPr>
        <w:t xml:space="preserve"> </w:t>
      </w:r>
      <w:r w:rsidR="00AD7F79">
        <w:rPr>
          <w:sz w:val="24"/>
        </w:rPr>
        <w:t>threatened by environmental protestors</w:t>
      </w:r>
      <w:r w:rsidR="00BC5C0F">
        <w:rPr>
          <w:sz w:val="24"/>
        </w:rPr>
        <w:t xml:space="preserve">. These are set out in </w:t>
      </w:r>
      <w:r w:rsidR="00B031FF">
        <w:rPr>
          <w:sz w:val="24"/>
        </w:rPr>
        <w:t>Armstrong 4, §</w:t>
      </w:r>
      <w:r w:rsidR="000739D1">
        <w:rPr>
          <w:sz w:val="24"/>
        </w:rPr>
        <w:t>§</w:t>
      </w:r>
      <w:r w:rsidR="00B031FF">
        <w:rPr>
          <w:sz w:val="24"/>
        </w:rPr>
        <w:t>45</w:t>
      </w:r>
      <w:r w:rsidR="000739D1">
        <w:rPr>
          <w:sz w:val="24"/>
        </w:rPr>
        <w:t>-46</w:t>
      </w:r>
      <w:r w:rsidR="00B03B24">
        <w:rPr>
          <w:sz w:val="24"/>
        </w:rPr>
        <w:t xml:space="preserve"> </w:t>
      </w:r>
      <w:r w:rsidR="00B03B24">
        <w:rPr>
          <w:b/>
          <w:bCs/>
          <w:sz w:val="24"/>
        </w:rPr>
        <w:t>[</w:t>
      </w:r>
      <w:r w:rsidR="00013A6E">
        <w:rPr>
          <w:b/>
          <w:bCs/>
          <w:sz w:val="24"/>
        </w:rPr>
        <w:t>HB/</w:t>
      </w:r>
      <w:r w:rsidR="005737F9">
        <w:rPr>
          <w:b/>
          <w:bCs/>
          <w:sz w:val="24"/>
        </w:rPr>
        <w:t>227</w:t>
      </w:r>
      <w:r w:rsidR="00B03B24">
        <w:rPr>
          <w:b/>
          <w:bCs/>
          <w:sz w:val="24"/>
        </w:rPr>
        <w:t>]</w:t>
      </w:r>
      <w:r w:rsidR="00B031FF">
        <w:rPr>
          <w:sz w:val="24"/>
        </w:rPr>
        <w:t>, and Armstrong 5</w:t>
      </w:r>
      <w:r w:rsidR="00B03B24">
        <w:rPr>
          <w:sz w:val="24"/>
        </w:rPr>
        <w:t>, §</w:t>
      </w:r>
      <w:r w:rsidR="001824CF">
        <w:rPr>
          <w:sz w:val="24"/>
        </w:rPr>
        <w:t xml:space="preserve">38 </w:t>
      </w:r>
      <w:r w:rsidR="001824CF">
        <w:rPr>
          <w:b/>
          <w:bCs/>
          <w:sz w:val="24"/>
        </w:rPr>
        <w:t>[</w:t>
      </w:r>
      <w:r w:rsidR="005737F9">
        <w:rPr>
          <w:b/>
          <w:bCs/>
          <w:sz w:val="24"/>
        </w:rPr>
        <w:t>HB/242</w:t>
      </w:r>
      <w:r w:rsidR="001824CF">
        <w:rPr>
          <w:b/>
          <w:bCs/>
          <w:sz w:val="24"/>
        </w:rPr>
        <w:t>]</w:t>
      </w:r>
      <w:r w:rsidR="00B031FF">
        <w:rPr>
          <w:sz w:val="24"/>
        </w:rPr>
        <w:t>.</w:t>
      </w:r>
    </w:p>
    <w:p w14:paraId="192DA979" w14:textId="77777777" w:rsidR="004D4F04" w:rsidRDefault="001824CF" w:rsidP="00857519">
      <w:pPr>
        <w:pStyle w:val="ListParagraph"/>
        <w:numPr>
          <w:ilvl w:val="0"/>
          <w:numId w:val="15"/>
        </w:numPr>
        <w:tabs>
          <w:tab w:val="left" w:pos="567"/>
        </w:tabs>
        <w:spacing w:before="160" w:line="360" w:lineRule="auto"/>
        <w:ind w:left="567" w:right="118" w:hanging="567"/>
        <w:rPr>
          <w:sz w:val="24"/>
        </w:rPr>
      </w:pPr>
      <w:r>
        <w:rPr>
          <w:sz w:val="24"/>
        </w:rPr>
        <w:lastRenderedPageBreak/>
        <w:t>Most recently</w:t>
      </w:r>
      <w:r w:rsidR="004D4F04">
        <w:rPr>
          <w:sz w:val="24"/>
        </w:rPr>
        <w:t>:</w:t>
      </w:r>
      <w:r>
        <w:rPr>
          <w:sz w:val="24"/>
        </w:rPr>
        <w:t xml:space="preserve"> </w:t>
      </w:r>
    </w:p>
    <w:p w14:paraId="5955C345" w14:textId="4B2E0A8C" w:rsidR="00240F86" w:rsidRDefault="00763EF1" w:rsidP="002F48AD">
      <w:pPr>
        <w:pStyle w:val="ListParagraph"/>
        <w:numPr>
          <w:ilvl w:val="1"/>
          <w:numId w:val="15"/>
        </w:numPr>
        <w:tabs>
          <w:tab w:val="left" w:pos="567"/>
        </w:tabs>
        <w:spacing w:before="160" w:line="360" w:lineRule="auto"/>
        <w:ind w:left="1701" w:right="118" w:hanging="567"/>
        <w:jc w:val="both"/>
        <w:rPr>
          <w:sz w:val="24"/>
        </w:rPr>
      </w:pPr>
      <w:r>
        <w:rPr>
          <w:sz w:val="24"/>
        </w:rPr>
        <w:t>A</w:t>
      </w:r>
      <w:r w:rsidR="007C2208">
        <w:rPr>
          <w:sz w:val="24"/>
        </w:rPr>
        <w:t xml:space="preserve"> final injunction was granted to Esso Petroleum Company Ltd </w:t>
      </w:r>
      <w:r w:rsidR="00310B2F">
        <w:rPr>
          <w:sz w:val="24"/>
        </w:rPr>
        <w:t xml:space="preserve">on 19 July 2023 </w:t>
      </w:r>
      <w:r w:rsidR="005834BF">
        <w:rPr>
          <w:sz w:val="24"/>
        </w:rPr>
        <w:t>by Linden J</w:t>
      </w:r>
      <w:r w:rsidR="00972669">
        <w:rPr>
          <w:sz w:val="24"/>
        </w:rPr>
        <w:t>:</w:t>
      </w:r>
      <w:r w:rsidR="005834BF">
        <w:rPr>
          <w:sz w:val="24"/>
        </w:rPr>
        <w:t xml:space="preserve"> </w:t>
      </w:r>
      <w:r w:rsidR="00FC07B4">
        <w:rPr>
          <w:i/>
          <w:iCs/>
          <w:sz w:val="24"/>
        </w:rPr>
        <w:t xml:space="preserve">Esso </w:t>
      </w:r>
      <w:r w:rsidR="008547D4">
        <w:rPr>
          <w:i/>
          <w:iCs/>
          <w:sz w:val="24"/>
        </w:rPr>
        <w:t>Petroleum</w:t>
      </w:r>
      <w:r w:rsidR="00FC07B4">
        <w:rPr>
          <w:i/>
          <w:iCs/>
          <w:sz w:val="24"/>
        </w:rPr>
        <w:t xml:space="preserve"> Company Ltd v Persons Unknown </w:t>
      </w:r>
      <w:r w:rsidR="00FC07B4">
        <w:rPr>
          <w:sz w:val="24"/>
        </w:rPr>
        <w:t>[2023] EWHC 1837 (KB)</w:t>
      </w:r>
      <w:r w:rsidR="003D3DD5">
        <w:rPr>
          <w:sz w:val="24"/>
        </w:rPr>
        <w:t xml:space="preserve"> (“</w:t>
      </w:r>
      <w:r w:rsidR="003D3DD5" w:rsidRPr="003D3DD5">
        <w:rPr>
          <w:b/>
          <w:bCs/>
          <w:i/>
          <w:iCs/>
          <w:sz w:val="24"/>
        </w:rPr>
        <w:t>Esso Petroleum</w:t>
      </w:r>
      <w:r w:rsidR="003D3DD5">
        <w:rPr>
          <w:i/>
          <w:iCs/>
          <w:sz w:val="24"/>
        </w:rPr>
        <w:t>”)</w:t>
      </w:r>
      <w:r w:rsidR="003A6F49">
        <w:rPr>
          <w:i/>
          <w:iCs/>
          <w:sz w:val="24"/>
        </w:rPr>
        <w:t xml:space="preserve"> </w:t>
      </w:r>
      <w:r w:rsidR="003A6F49" w:rsidRPr="003A6F49">
        <w:rPr>
          <w:b/>
          <w:bCs/>
          <w:sz w:val="24"/>
          <w:szCs w:val="24"/>
        </w:rPr>
        <w:t>[AB/</w:t>
      </w:r>
      <w:r w:rsidR="006F2557">
        <w:rPr>
          <w:b/>
          <w:bCs/>
          <w:sz w:val="24"/>
          <w:szCs w:val="24"/>
        </w:rPr>
        <w:t>450</w:t>
      </w:r>
      <w:r w:rsidR="003A6F49" w:rsidRPr="003A6F49">
        <w:rPr>
          <w:b/>
          <w:bCs/>
          <w:sz w:val="24"/>
          <w:szCs w:val="24"/>
        </w:rPr>
        <w:t>]</w:t>
      </w:r>
      <w:r w:rsidR="00FC07B4">
        <w:rPr>
          <w:sz w:val="24"/>
        </w:rPr>
        <w:t>.</w:t>
      </w:r>
      <w:r w:rsidR="00BC5C0F">
        <w:rPr>
          <w:sz w:val="24"/>
        </w:rPr>
        <w:t xml:space="preserve"> </w:t>
      </w:r>
    </w:p>
    <w:p w14:paraId="432EA6DB" w14:textId="6335F89E" w:rsidR="00B61796" w:rsidRDefault="00B61796" w:rsidP="002F48AD">
      <w:pPr>
        <w:pStyle w:val="ListParagraph"/>
        <w:numPr>
          <w:ilvl w:val="1"/>
          <w:numId w:val="15"/>
        </w:numPr>
        <w:tabs>
          <w:tab w:val="left" w:pos="567"/>
        </w:tabs>
        <w:spacing w:before="160" w:line="360" w:lineRule="auto"/>
        <w:ind w:left="1701" w:right="118" w:hanging="567"/>
        <w:jc w:val="both"/>
        <w:rPr>
          <w:sz w:val="24"/>
        </w:rPr>
      </w:pPr>
      <w:r>
        <w:rPr>
          <w:sz w:val="24"/>
        </w:rPr>
        <w:t xml:space="preserve">An interim injunction was granted to North Warwickshire BC on </w:t>
      </w:r>
      <w:r w:rsidR="009717C2">
        <w:rPr>
          <w:sz w:val="24"/>
        </w:rPr>
        <w:t xml:space="preserve">14 July 2023 by Sweeting J: </w:t>
      </w:r>
      <w:r w:rsidR="009717C2">
        <w:rPr>
          <w:i/>
          <w:iCs/>
          <w:sz w:val="24"/>
        </w:rPr>
        <w:t xml:space="preserve">North </w:t>
      </w:r>
      <w:r w:rsidR="008547D4">
        <w:rPr>
          <w:i/>
          <w:iCs/>
          <w:sz w:val="24"/>
        </w:rPr>
        <w:t>Warwickshire</w:t>
      </w:r>
      <w:r w:rsidR="009717C2">
        <w:rPr>
          <w:i/>
          <w:iCs/>
          <w:sz w:val="24"/>
        </w:rPr>
        <w:t xml:space="preserve"> BC v Persons Unknown </w:t>
      </w:r>
      <w:r w:rsidR="009717C2">
        <w:rPr>
          <w:sz w:val="24"/>
        </w:rPr>
        <w:t xml:space="preserve">[2023] EWHC 1719 (KB). Sweeting J found that the </w:t>
      </w:r>
      <w:r w:rsidR="009E51E7">
        <w:rPr>
          <w:sz w:val="24"/>
        </w:rPr>
        <w:t xml:space="preserve">Council was </w:t>
      </w:r>
      <w:r w:rsidR="00102781">
        <w:rPr>
          <w:sz w:val="24"/>
        </w:rPr>
        <w:t>“</w:t>
      </w:r>
      <w:r w:rsidR="00102781" w:rsidRPr="00102781">
        <w:rPr>
          <w:i/>
          <w:iCs/>
          <w:sz w:val="24"/>
        </w:rPr>
        <w:t>likely</w:t>
      </w:r>
      <w:r w:rsidR="00102781">
        <w:rPr>
          <w:sz w:val="24"/>
        </w:rPr>
        <w:t>”</w:t>
      </w:r>
      <w:r w:rsidR="00102781" w:rsidRPr="00102781">
        <w:rPr>
          <w:sz w:val="24"/>
        </w:rPr>
        <w:t xml:space="preserve"> to obtain injunctive relief at trial,</w:t>
      </w:r>
      <w:r w:rsidR="00102781">
        <w:rPr>
          <w:sz w:val="24"/>
        </w:rPr>
        <w:t xml:space="preserve"> pursuant to s.12(3) HRA 1998</w:t>
      </w:r>
      <w:r w:rsidR="001A7222">
        <w:rPr>
          <w:sz w:val="24"/>
        </w:rPr>
        <w:t>: §</w:t>
      </w:r>
      <w:r w:rsidR="0099499E">
        <w:rPr>
          <w:sz w:val="24"/>
        </w:rPr>
        <w:t>§</w:t>
      </w:r>
      <w:r w:rsidR="001A7222">
        <w:rPr>
          <w:sz w:val="24"/>
        </w:rPr>
        <w:t>119</w:t>
      </w:r>
      <w:r w:rsidR="0099499E">
        <w:rPr>
          <w:sz w:val="24"/>
        </w:rPr>
        <w:t>, 125</w:t>
      </w:r>
      <w:r w:rsidR="001A7222">
        <w:rPr>
          <w:sz w:val="24"/>
        </w:rPr>
        <w:t>.</w:t>
      </w:r>
      <w:r w:rsidR="006F2557">
        <w:rPr>
          <w:sz w:val="24"/>
        </w:rPr>
        <w:t xml:space="preserve"> </w:t>
      </w:r>
      <w:r w:rsidR="006F2557" w:rsidRPr="006F2557">
        <w:rPr>
          <w:b/>
          <w:bCs/>
          <w:sz w:val="24"/>
          <w:szCs w:val="24"/>
        </w:rPr>
        <w:t>[AB/</w:t>
      </w:r>
      <w:r w:rsidR="001A7222">
        <w:rPr>
          <w:b/>
          <w:bCs/>
          <w:sz w:val="24"/>
          <w:szCs w:val="24"/>
        </w:rPr>
        <w:t>438</w:t>
      </w:r>
      <w:r w:rsidR="0099499E">
        <w:rPr>
          <w:b/>
          <w:bCs/>
          <w:sz w:val="24"/>
          <w:szCs w:val="24"/>
        </w:rPr>
        <w:t>-439</w:t>
      </w:r>
      <w:r w:rsidR="006F2557" w:rsidRPr="006F2557">
        <w:rPr>
          <w:b/>
          <w:bCs/>
          <w:sz w:val="24"/>
          <w:szCs w:val="24"/>
        </w:rPr>
        <w:t>]</w:t>
      </w:r>
      <w:r w:rsidR="00102781">
        <w:rPr>
          <w:sz w:val="24"/>
        </w:rPr>
        <w:t xml:space="preserve">. </w:t>
      </w:r>
    </w:p>
    <w:p w14:paraId="369F6BC3" w14:textId="00FACC5E" w:rsidR="000F52F7" w:rsidRPr="00857519" w:rsidRDefault="000F52F7" w:rsidP="002F48AD">
      <w:pPr>
        <w:pStyle w:val="ListParagraph"/>
        <w:numPr>
          <w:ilvl w:val="1"/>
          <w:numId w:val="15"/>
        </w:numPr>
        <w:tabs>
          <w:tab w:val="left" w:pos="567"/>
        </w:tabs>
        <w:spacing w:before="160" w:line="360" w:lineRule="auto"/>
        <w:ind w:left="1701" w:right="118" w:hanging="567"/>
        <w:jc w:val="both"/>
        <w:rPr>
          <w:sz w:val="24"/>
        </w:rPr>
      </w:pPr>
      <w:r>
        <w:rPr>
          <w:sz w:val="24"/>
        </w:rPr>
        <w:t>Final injunctions were granted to TfL on 23 May 2023 and 3 May 2023 in respect of</w:t>
      </w:r>
      <w:r w:rsidR="002F48AD">
        <w:rPr>
          <w:sz w:val="24"/>
        </w:rPr>
        <w:t xml:space="preserve"> Just Stop Oil and Insulate Britain, respectively</w:t>
      </w:r>
      <w:r w:rsidR="00930D6C">
        <w:rPr>
          <w:sz w:val="24"/>
        </w:rPr>
        <w:t xml:space="preserve">: </w:t>
      </w:r>
      <w:r w:rsidR="00930D6C" w:rsidRPr="00930D6C">
        <w:rPr>
          <w:i/>
          <w:iCs/>
          <w:sz w:val="24"/>
        </w:rPr>
        <w:t>Transport for London v Lee</w:t>
      </w:r>
      <w:r w:rsidR="00930D6C" w:rsidRPr="00930D6C">
        <w:rPr>
          <w:sz w:val="24"/>
        </w:rPr>
        <w:t xml:space="preserve"> [2023] EWHC 1201 (KB) (Eyre J)</w:t>
      </w:r>
      <w:r>
        <w:rPr>
          <w:sz w:val="24"/>
        </w:rPr>
        <w:t xml:space="preserve"> </w:t>
      </w:r>
      <w:r w:rsidR="0099499E" w:rsidRPr="003A6F49">
        <w:rPr>
          <w:b/>
          <w:bCs/>
          <w:sz w:val="24"/>
          <w:szCs w:val="24"/>
        </w:rPr>
        <w:t>[AB/</w:t>
      </w:r>
      <w:r w:rsidR="0099499E">
        <w:rPr>
          <w:b/>
          <w:bCs/>
          <w:sz w:val="24"/>
          <w:szCs w:val="24"/>
        </w:rPr>
        <w:t>403</w:t>
      </w:r>
      <w:r w:rsidR="0099499E" w:rsidRPr="003A6F49">
        <w:rPr>
          <w:b/>
          <w:bCs/>
          <w:sz w:val="24"/>
          <w:szCs w:val="24"/>
        </w:rPr>
        <w:t>]</w:t>
      </w:r>
      <w:r w:rsidR="0099499E">
        <w:rPr>
          <w:b/>
          <w:bCs/>
          <w:sz w:val="24"/>
          <w:szCs w:val="24"/>
        </w:rPr>
        <w:t xml:space="preserve"> </w:t>
      </w:r>
      <w:r w:rsidR="00AB6D37">
        <w:rPr>
          <w:sz w:val="24"/>
        </w:rPr>
        <w:t xml:space="preserve">and </w:t>
      </w:r>
      <w:r w:rsidR="00AB6D37" w:rsidRPr="00AB6D37">
        <w:rPr>
          <w:i/>
          <w:iCs/>
          <w:sz w:val="24"/>
        </w:rPr>
        <w:t>Transport for London v Persons Unknown</w:t>
      </w:r>
      <w:r w:rsidR="00AB6D37" w:rsidRPr="00AB6D37">
        <w:rPr>
          <w:sz w:val="24"/>
        </w:rPr>
        <w:t xml:space="preserve"> [2023] EWHC 1038 (KB) (Morris J)</w:t>
      </w:r>
      <w:r w:rsidR="0099499E">
        <w:rPr>
          <w:sz w:val="24"/>
        </w:rPr>
        <w:t xml:space="preserve"> </w:t>
      </w:r>
      <w:r w:rsidR="0099499E" w:rsidRPr="003A6F49">
        <w:rPr>
          <w:b/>
          <w:bCs/>
          <w:sz w:val="24"/>
          <w:szCs w:val="24"/>
        </w:rPr>
        <w:t>[AB/</w:t>
      </w:r>
      <w:r w:rsidR="00236A0C">
        <w:rPr>
          <w:b/>
          <w:bCs/>
          <w:sz w:val="24"/>
          <w:szCs w:val="24"/>
        </w:rPr>
        <w:t>388</w:t>
      </w:r>
      <w:r w:rsidR="0099499E" w:rsidRPr="003A6F49">
        <w:rPr>
          <w:b/>
          <w:bCs/>
          <w:sz w:val="24"/>
          <w:szCs w:val="24"/>
        </w:rPr>
        <w:t>]</w:t>
      </w:r>
      <w:r w:rsidR="00C33F03">
        <w:rPr>
          <w:sz w:val="24"/>
        </w:rPr>
        <w:t>.</w:t>
      </w:r>
    </w:p>
    <w:p w14:paraId="64679230" w14:textId="77777777" w:rsidR="004231F0" w:rsidRPr="00083184" w:rsidRDefault="004231F0" w:rsidP="00B44B3B">
      <w:pPr>
        <w:tabs>
          <w:tab w:val="left" w:pos="567"/>
        </w:tabs>
        <w:spacing w:line="360" w:lineRule="auto"/>
        <w:ind w:right="118"/>
        <w:jc w:val="both"/>
        <w:rPr>
          <w:sz w:val="24"/>
        </w:rPr>
      </w:pPr>
    </w:p>
    <w:p w14:paraId="34CA7818" w14:textId="15526BEE" w:rsidR="004231F0" w:rsidRPr="008A0D37" w:rsidRDefault="001E19E7" w:rsidP="008A0D37">
      <w:pPr>
        <w:pStyle w:val="ListParagraph"/>
        <w:numPr>
          <w:ilvl w:val="0"/>
          <w:numId w:val="18"/>
        </w:numPr>
        <w:tabs>
          <w:tab w:val="left" w:pos="567"/>
        </w:tabs>
        <w:spacing w:before="160" w:line="360" w:lineRule="auto"/>
        <w:ind w:left="567" w:right="118" w:hanging="567"/>
        <w:rPr>
          <w:b/>
          <w:bCs/>
          <w:sz w:val="24"/>
        </w:rPr>
      </w:pPr>
      <w:r w:rsidRPr="008A0D37">
        <w:rPr>
          <w:b/>
          <w:bCs/>
          <w:sz w:val="24"/>
        </w:rPr>
        <w:t>CONTINUED THREAT</w:t>
      </w:r>
    </w:p>
    <w:p w14:paraId="104724AA" w14:textId="30E36ECF" w:rsidR="00727AD2" w:rsidRDefault="004231F0" w:rsidP="004231F0">
      <w:pPr>
        <w:pStyle w:val="ListParagraph"/>
        <w:numPr>
          <w:ilvl w:val="0"/>
          <w:numId w:val="15"/>
        </w:numPr>
        <w:tabs>
          <w:tab w:val="left" w:pos="567"/>
        </w:tabs>
        <w:spacing w:before="160" w:line="360" w:lineRule="auto"/>
        <w:ind w:left="567" w:right="118" w:hanging="567"/>
        <w:rPr>
          <w:sz w:val="24"/>
        </w:rPr>
      </w:pPr>
      <w:r w:rsidRPr="00083184">
        <w:rPr>
          <w:sz w:val="24"/>
        </w:rPr>
        <w:t xml:space="preserve">It is the Claimants’ </w:t>
      </w:r>
      <w:r w:rsidR="00F92AC5" w:rsidRPr="00083184">
        <w:rPr>
          <w:sz w:val="24"/>
        </w:rPr>
        <w:t>position that th</w:t>
      </w:r>
      <w:r w:rsidR="00AA43D5" w:rsidRPr="00083184">
        <w:rPr>
          <w:sz w:val="24"/>
        </w:rPr>
        <w:t>ere exist</w:t>
      </w:r>
      <w:r w:rsidR="00727AD2">
        <w:rPr>
          <w:sz w:val="24"/>
        </w:rPr>
        <w:t>s</w:t>
      </w:r>
      <w:r w:rsidR="00AA43D5" w:rsidRPr="00083184">
        <w:rPr>
          <w:sz w:val="24"/>
        </w:rPr>
        <w:t xml:space="preserve"> a continued threat of trespass and nuisance at the Sites. </w:t>
      </w:r>
    </w:p>
    <w:p w14:paraId="5F186859" w14:textId="1A1AEC1A" w:rsidR="00F23BBA" w:rsidRPr="00083184" w:rsidRDefault="00E81B39" w:rsidP="004231F0">
      <w:pPr>
        <w:pStyle w:val="ListParagraph"/>
        <w:numPr>
          <w:ilvl w:val="0"/>
          <w:numId w:val="15"/>
        </w:numPr>
        <w:tabs>
          <w:tab w:val="left" w:pos="567"/>
        </w:tabs>
        <w:spacing w:before="160" w:line="360" w:lineRule="auto"/>
        <w:ind w:left="567" w:right="118" w:hanging="567"/>
        <w:rPr>
          <w:sz w:val="24"/>
        </w:rPr>
      </w:pPr>
      <w:r>
        <w:rPr>
          <w:sz w:val="24"/>
        </w:rPr>
        <w:t>T</w:t>
      </w:r>
      <w:r w:rsidR="00F23BBA" w:rsidRPr="00083184">
        <w:rPr>
          <w:sz w:val="24"/>
        </w:rPr>
        <w:t>his is on the bas</w:t>
      </w:r>
      <w:r w:rsidR="008547D4">
        <w:rPr>
          <w:sz w:val="24"/>
        </w:rPr>
        <w:t>i</w:t>
      </w:r>
      <w:r w:rsidR="00F23BBA" w:rsidRPr="00083184">
        <w:rPr>
          <w:sz w:val="24"/>
        </w:rPr>
        <w:t xml:space="preserve">s </w:t>
      </w:r>
      <w:r w:rsidR="00AA1344" w:rsidRPr="00083184">
        <w:rPr>
          <w:sz w:val="24"/>
        </w:rPr>
        <w:t>of</w:t>
      </w:r>
      <w:r w:rsidR="00F23BBA" w:rsidRPr="00083184">
        <w:rPr>
          <w:sz w:val="24"/>
        </w:rPr>
        <w:t>:</w:t>
      </w:r>
    </w:p>
    <w:p w14:paraId="44B2295C" w14:textId="6637471D" w:rsidR="00B622DE" w:rsidRPr="00387705" w:rsidRDefault="00410556" w:rsidP="00387705">
      <w:pPr>
        <w:pStyle w:val="ListParagraph"/>
        <w:numPr>
          <w:ilvl w:val="2"/>
          <w:numId w:val="15"/>
        </w:numPr>
        <w:tabs>
          <w:tab w:val="left" w:pos="567"/>
        </w:tabs>
        <w:spacing w:before="160" w:line="360" w:lineRule="auto"/>
        <w:ind w:left="1701" w:right="118" w:hanging="567"/>
        <w:rPr>
          <w:sz w:val="24"/>
        </w:rPr>
      </w:pPr>
      <w:r>
        <w:rPr>
          <w:sz w:val="24"/>
        </w:rPr>
        <w:t xml:space="preserve">The direct action that occurred </w:t>
      </w:r>
      <w:r w:rsidR="004B5544">
        <w:rPr>
          <w:sz w:val="24"/>
        </w:rPr>
        <w:t xml:space="preserve">in and around the Sites in </w:t>
      </w:r>
      <w:r w:rsidR="00A2441B">
        <w:rPr>
          <w:sz w:val="24"/>
        </w:rPr>
        <w:t>April 2022</w:t>
      </w:r>
      <w:r w:rsidR="00E81B39">
        <w:rPr>
          <w:sz w:val="24"/>
        </w:rPr>
        <w:t xml:space="preserve">: Armstrong </w:t>
      </w:r>
      <w:r w:rsidR="00827E89">
        <w:rPr>
          <w:sz w:val="24"/>
        </w:rPr>
        <w:t>1</w:t>
      </w:r>
      <w:r w:rsidR="00E81B39">
        <w:rPr>
          <w:sz w:val="24"/>
        </w:rPr>
        <w:t>, §§</w:t>
      </w:r>
      <w:r w:rsidR="00827E89">
        <w:rPr>
          <w:sz w:val="24"/>
        </w:rPr>
        <w:t>44-45</w:t>
      </w:r>
      <w:r w:rsidR="009B6566">
        <w:rPr>
          <w:sz w:val="24"/>
        </w:rPr>
        <w:t xml:space="preserve"> </w:t>
      </w:r>
      <w:r w:rsidR="009B6566" w:rsidRPr="009B6566">
        <w:rPr>
          <w:b/>
          <w:sz w:val="24"/>
          <w:szCs w:val="24"/>
        </w:rPr>
        <w:t>[HB/</w:t>
      </w:r>
      <w:r w:rsidR="00827E89">
        <w:rPr>
          <w:b/>
          <w:sz w:val="24"/>
          <w:szCs w:val="24"/>
        </w:rPr>
        <w:t>175</w:t>
      </w:r>
      <w:r w:rsidR="009B6566" w:rsidRPr="009B6566">
        <w:rPr>
          <w:b/>
          <w:sz w:val="24"/>
          <w:szCs w:val="24"/>
        </w:rPr>
        <w:t>]</w:t>
      </w:r>
      <w:r w:rsidR="007F1653">
        <w:rPr>
          <w:bCs/>
          <w:sz w:val="24"/>
          <w:szCs w:val="24"/>
        </w:rPr>
        <w:t xml:space="preserve">; the Second Witness Statement of John Armstrong, dated </w:t>
      </w:r>
      <w:r w:rsidR="00387705">
        <w:rPr>
          <w:bCs/>
          <w:sz w:val="24"/>
          <w:szCs w:val="24"/>
        </w:rPr>
        <w:t xml:space="preserve">14 April 2022, </w:t>
      </w:r>
      <w:r w:rsidR="00387705">
        <w:rPr>
          <w:sz w:val="24"/>
        </w:rPr>
        <w:t>§§</w:t>
      </w:r>
      <w:r w:rsidR="00387705">
        <w:rPr>
          <w:bCs/>
          <w:sz w:val="24"/>
          <w:szCs w:val="24"/>
        </w:rPr>
        <w:t xml:space="preserve">12-17 </w:t>
      </w:r>
      <w:r w:rsidR="00387705">
        <w:rPr>
          <w:b/>
          <w:sz w:val="24"/>
          <w:szCs w:val="24"/>
        </w:rPr>
        <w:t>[HB/195]</w:t>
      </w:r>
      <w:r w:rsidR="00E81B39" w:rsidRPr="00387705">
        <w:rPr>
          <w:sz w:val="24"/>
        </w:rPr>
        <w:t>.</w:t>
      </w:r>
    </w:p>
    <w:p w14:paraId="0ABD59CF" w14:textId="7913BB7A" w:rsidR="004F275D" w:rsidRPr="00F42498" w:rsidRDefault="004F275D" w:rsidP="00F42498">
      <w:pPr>
        <w:pStyle w:val="ListParagraph"/>
        <w:numPr>
          <w:ilvl w:val="2"/>
          <w:numId w:val="15"/>
        </w:numPr>
        <w:tabs>
          <w:tab w:val="left" w:pos="567"/>
        </w:tabs>
        <w:spacing w:before="160" w:line="360" w:lineRule="auto"/>
        <w:ind w:left="1701" w:right="118" w:hanging="567"/>
        <w:rPr>
          <w:sz w:val="24"/>
        </w:rPr>
      </w:pPr>
      <w:r w:rsidRPr="00F42498">
        <w:rPr>
          <w:sz w:val="24"/>
        </w:rPr>
        <w:t xml:space="preserve">Since the </w:t>
      </w:r>
      <w:r w:rsidR="00F42498">
        <w:rPr>
          <w:sz w:val="24"/>
        </w:rPr>
        <w:t>Knox Orders,</w:t>
      </w:r>
      <w:r w:rsidRPr="00F42498">
        <w:rPr>
          <w:sz w:val="24"/>
        </w:rPr>
        <w:t xml:space="preserve"> </w:t>
      </w:r>
      <w:r w:rsidR="00F42498">
        <w:rPr>
          <w:sz w:val="24"/>
        </w:rPr>
        <w:t>the</w:t>
      </w:r>
      <w:r w:rsidRPr="00F42498">
        <w:rPr>
          <w:sz w:val="24"/>
        </w:rPr>
        <w:t xml:space="preserve"> further incidents of direct action and protest in close proximity to Site 2: </w:t>
      </w:r>
      <w:r w:rsidR="00F42498">
        <w:rPr>
          <w:sz w:val="24"/>
        </w:rPr>
        <w:t>Armstrong 3, §§</w:t>
      </w:r>
      <w:r w:rsidRPr="00F42498">
        <w:rPr>
          <w:sz w:val="24"/>
        </w:rPr>
        <w:t>11</w:t>
      </w:r>
      <w:r w:rsidR="00F42498">
        <w:rPr>
          <w:sz w:val="24"/>
        </w:rPr>
        <w:t>-</w:t>
      </w:r>
      <w:r w:rsidRPr="00F42498">
        <w:rPr>
          <w:sz w:val="24"/>
        </w:rPr>
        <w:t>19</w:t>
      </w:r>
      <w:r w:rsidR="00F42498">
        <w:rPr>
          <w:sz w:val="24"/>
        </w:rPr>
        <w:t xml:space="preserve"> </w:t>
      </w:r>
      <w:r w:rsidR="00B2404D" w:rsidRPr="00F42498">
        <w:rPr>
          <w:b/>
          <w:sz w:val="24"/>
        </w:rPr>
        <w:t>[</w:t>
      </w:r>
      <w:r w:rsidR="00367B12">
        <w:rPr>
          <w:b/>
          <w:sz w:val="24"/>
        </w:rPr>
        <w:t>HB/204</w:t>
      </w:r>
      <w:r w:rsidR="00E65496" w:rsidRPr="00F42498">
        <w:rPr>
          <w:b/>
          <w:sz w:val="24"/>
        </w:rPr>
        <w:t>]</w:t>
      </w:r>
      <w:r w:rsidRPr="00F42498">
        <w:rPr>
          <w:sz w:val="24"/>
        </w:rPr>
        <w:t xml:space="preserve">.   </w:t>
      </w:r>
    </w:p>
    <w:p w14:paraId="1D2B1219" w14:textId="3B9F2586" w:rsidR="004F275D" w:rsidRPr="00083184" w:rsidRDefault="00F42498" w:rsidP="004F275D">
      <w:pPr>
        <w:pStyle w:val="ListParagraph"/>
        <w:numPr>
          <w:ilvl w:val="2"/>
          <w:numId w:val="15"/>
        </w:numPr>
        <w:tabs>
          <w:tab w:val="left" w:pos="567"/>
        </w:tabs>
        <w:spacing w:before="160" w:line="360" w:lineRule="auto"/>
        <w:ind w:left="1701" w:right="118" w:hanging="567"/>
        <w:rPr>
          <w:sz w:val="24"/>
        </w:rPr>
      </w:pPr>
      <w:r>
        <w:rPr>
          <w:sz w:val="24"/>
        </w:rPr>
        <w:t>The</w:t>
      </w:r>
      <w:r w:rsidR="004F275D" w:rsidRPr="00083184">
        <w:rPr>
          <w:sz w:val="24"/>
        </w:rPr>
        <w:t xml:space="preserve"> </w:t>
      </w:r>
      <w:r w:rsidR="008547D4">
        <w:rPr>
          <w:sz w:val="24"/>
        </w:rPr>
        <w:t xml:space="preserve">ongoing </w:t>
      </w:r>
      <w:r w:rsidR="004F275D" w:rsidRPr="00083184">
        <w:rPr>
          <w:sz w:val="24"/>
        </w:rPr>
        <w:t>direct action carried out by organisations such as Extinction Rebellion and Just Stop Oil aimed at the energy sector</w:t>
      </w:r>
      <w:r>
        <w:rPr>
          <w:sz w:val="24"/>
        </w:rPr>
        <w:t xml:space="preserve"> more generally</w:t>
      </w:r>
      <w:r w:rsidR="004F275D" w:rsidRPr="00083184">
        <w:rPr>
          <w:sz w:val="24"/>
        </w:rPr>
        <w:t xml:space="preserve">: </w:t>
      </w:r>
      <w:r>
        <w:rPr>
          <w:sz w:val="24"/>
        </w:rPr>
        <w:t>Armstrong 3, §§</w:t>
      </w:r>
      <w:r w:rsidR="004F275D" w:rsidRPr="00083184">
        <w:rPr>
          <w:sz w:val="24"/>
        </w:rPr>
        <w:t>23</w:t>
      </w:r>
      <w:r>
        <w:rPr>
          <w:sz w:val="24"/>
        </w:rPr>
        <w:t>-</w:t>
      </w:r>
      <w:r w:rsidR="004F275D" w:rsidRPr="00083184">
        <w:rPr>
          <w:sz w:val="24"/>
        </w:rPr>
        <w:t>44</w:t>
      </w:r>
      <w:r w:rsidR="00CB2340">
        <w:rPr>
          <w:sz w:val="24"/>
        </w:rPr>
        <w:t xml:space="preserve"> </w:t>
      </w:r>
      <w:r w:rsidR="00E65496" w:rsidRPr="00901144">
        <w:rPr>
          <w:b/>
          <w:sz w:val="24"/>
        </w:rPr>
        <w:t>[</w:t>
      </w:r>
      <w:r w:rsidR="00367B12">
        <w:rPr>
          <w:b/>
          <w:sz w:val="24"/>
        </w:rPr>
        <w:t>HB/206</w:t>
      </w:r>
      <w:r w:rsidR="00E65496" w:rsidRPr="00901144">
        <w:rPr>
          <w:b/>
          <w:sz w:val="24"/>
        </w:rPr>
        <w:t>]</w:t>
      </w:r>
      <w:r w:rsidR="00EB377F">
        <w:rPr>
          <w:sz w:val="24"/>
        </w:rPr>
        <w:t>; Armstrong 4, §§</w:t>
      </w:r>
      <w:r w:rsidR="00DD701B">
        <w:rPr>
          <w:sz w:val="24"/>
        </w:rPr>
        <w:t xml:space="preserve">16-36 </w:t>
      </w:r>
      <w:r w:rsidR="00DD701B">
        <w:rPr>
          <w:b/>
          <w:bCs/>
          <w:sz w:val="24"/>
        </w:rPr>
        <w:t>[</w:t>
      </w:r>
      <w:r w:rsidR="00367B12">
        <w:rPr>
          <w:b/>
          <w:bCs/>
          <w:sz w:val="24"/>
        </w:rPr>
        <w:t>HB/</w:t>
      </w:r>
      <w:r w:rsidR="00A5246B">
        <w:rPr>
          <w:b/>
          <w:bCs/>
          <w:sz w:val="24"/>
        </w:rPr>
        <w:t>223</w:t>
      </w:r>
      <w:r w:rsidR="00DD701B">
        <w:rPr>
          <w:b/>
          <w:bCs/>
          <w:sz w:val="24"/>
        </w:rPr>
        <w:t>]</w:t>
      </w:r>
      <w:r w:rsidR="00DD701B">
        <w:rPr>
          <w:sz w:val="24"/>
        </w:rPr>
        <w:t>; Armstrong 5, §§</w:t>
      </w:r>
      <w:r w:rsidR="00523B14">
        <w:rPr>
          <w:sz w:val="24"/>
        </w:rPr>
        <w:t xml:space="preserve">17-26 </w:t>
      </w:r>
      <w:r w:rsidR="00523B14">
        <w:rPr>
          <w:b/>
          <w:bCs/>
          <w:sz w:val="24"/>
        </w:rPr>
        <w:t>[</w:t>
      </w:r>
      <w:r w:rsidR="00A5246B">
        <w:rPr>
          <w:b/>
          <w:bCs/>
          <w:sz w:val="24"/>
        </w:rPr>
        <w:t>HB/238</w:t>
      </w:r>
      <w:r w:rsidR="00523B14">
        <w:rPr>
          <w:b/>
          <w:bCs/>
          <w:sz w:val="24"/>
        </w:rPr>
        <w:t>]</w:t>
      </w:r>
      <w:r w:rsidR="00523B14">
        <w:rPr>
          <w:sz w:val="24"/>
        </w:rPr>
        <w:t>.</w:t>
      </w:r>
    </w:p>
    <w:p w14:paraId="3AC00775" w14:textId="548195AC" w:rsidR="00731F98" w:rsidRDefault="004F275D" w:rsidP="004F275D">
      <w:pPr>
        <w:pStyle w:val="ListParagraph"/>
        <w:numPr>
          <w:ilvl w:val="2"/>
          <w:numId w:val="15"/>
        </w:numPr>
        <w:tabs>
          <w:tab w:val="left" w:pos="567"/>
        </w:tabs>
        <w:spacing w:before="160" w:line="360" w:lineRule="auto"/>
        <w:ind w:left="1701" w:right="118" w:hanging="567"/>
        <w:rPr>
          <w:sz w:val="24"/>
        </w:rPr>
      </w:pPr>
      <w:r w:rsidRPr="00083184">
        <w:rPr>
          <w:sz w:val="24"/>
        </w:rPr>
        <w:t>The continued statements, particularly in relation to Just Stop Oil, that they will be continuing with their campaign of direct action</w:t>
      </w:r>
      <w:r w:rsidR="0098784E">
        <w:rPr>
          <w:sz w:val="24"/>
        </w:rPr>
        <w:t xml:space="preserve"> and are continuing to actively recruit new members</w:t>
      </w:r>
      <w:r w:rsidR="008A2DAC">
        <w:rPr>
          <w:sz w:val="24"/>
        </w:rPr>
        <w:t>: Armstrong 4, §§37-44</w:t>
      </w:r>
      <w:r w:rsidR="0047757A">
        <w:rPr>
          <w:sz w:val="24"/>
        </w:rPr>
        <w:t xml:space="preserve"> </w:t>
      </w:r>
      <w:r w:rsidR="0047757A">
        <w:rPr>
          <w:b/>
          <w:bCs/>
          <w:sz w:val="24"/>
        </w:rPr>
        <w:t>[</w:t>
      </w:r>
      <w:r w:rsidR="00A5246B">
        <w:rPr>
          <w:b/>
          <w:bCs/>
          <w:sz w:val="24"/>
        </w:rPr>
        <w:t>HB/</w:t>
      </w:r>
      <w:r w:rsidR="00F45E28">
        <w:rPr>
          <w:b/>
          <w:bCs/>
          <w:sz w:val="24"/>
        </w:rPr>
        <w:t>226</w:t>
      </w:r>
      <w:r w:rsidR="0047757A">
        <w:rPr>
          <w:b/>
          <w:bCs/>
          <w:sz w:val="24"/>
        </w:rPr>
        <w:t>]</w:t>
      </w:r>
      <w:r w:rsidR="00610389">
        <w:rPr>
          <w:sz w:val="24"/>
        </w:rPr>
        <w:t>; Armstrong 5, §§27-37</w:t>
      </w:r>
      <w:r w:rsidR="0047757A">
        <w:rPr>
          <w:sz w:val="24"/>
        </w:rPr>
        <w:t xml:space="preserve"> </w:t>
      </w:r>
      <w:r w:rsidR="0047757A">
        <w:rPr>
          <w:b/>
          <w:bCs/>
          <w:sz w:val="24"/>
        </w:rPr>
        <w:t>[</w:t>
      </w:r>
      <w:r w:rsidR="00A5246B">
        <w:rPr>
          <w:b/>
          <w:bCs/>
          <w:sz w:val="24"/>
        </w:rPr>
        <w:t>HB/</w:t>
      </w:r>
      <w:r w:rsidR="00F45E28">
        <w:rPr>
          <w:b/>
          <w:bCs/>
          <w:sz w:val="24"/>
        </w:rPr>
        <w:t>241</w:t>
      </w:r>
      <w:r w:rsidR="0047757A">
        <w:rPr>
          <w:b/>
          <w:bCs/>
          <w:sz w:val="24"/>
        </w:rPr>
        <w:t>]</w:t>
      </w:r>
      <w:r w:rsidR="008A2DAC">
        <w:rPr>
          <w:sz w:val="24"/>
        </w:rPr>
        <w:t xml:space="preserve"> </w:t>
      </w:r>
      <w:r w:rsidRPr="00083184">
        <w:rPr>
          <w:sz w:val="24"/>
        </w:rPr>
        <w:t>–</w:t>
      </w:r>
      <w:r w:rsidR="008A2DAC">
        <w:rPr>
          <w:sz w:val="24"/>
        </w:rPr>
        <w:t xml:space="preserve"> see, e.g.</w:t>
      </w:r>
      <w:r w:rsidR="00731F98">
        <w:rPr>
          <w:sz w:val="24"/>
        </w:rPr>
        <w:t>:</w:t>
      </w:r>
    </w:p>
    <w:p w14:paraId="18620FE4" w14:textId="7053D9EC" w:rsidR="004F275D" w:rsidRPr="00731F98" w:rsidRDefault="004F275D" w:rsidP="00731F98">
      <w:pPr>
        <w:pStyle w:val="ListParagraph"/>
        <w:numPr>
          <w:ilvl w:val="3"/>
          <w:numId w:val="15"/>
        </w:numPr>
        <w:tabs>
          <w:tab w:val="left" w:pos="567"/>
        </w:tabs>
        <w:spacing w:before="160" w:line="360" w:lineRule="auto"/>
        <w:ind w:left="2835" w:right="118" w:hanging="567"/>
        <w:rPr>
          <w:sz w:val="24"/>
        </w:rPr>
      </w:pPr>
      <w:r w:rsidRPr="00083184">
        <w:rPr>
          <w:sz w:val="24"/>
        </w:rPr>
        <w:lastRenderedPageBreak/>
        <w:t>“</w:t>
      </w:r>
      <w:r w:rsidRPr="00083184">
        <w:rPr>
          <w:i/>
          <w:iCs/>
          <w:sz w:val="24"/>
        </w:rPr>
        <w:t>Our supporters will be returning – today – tomorrow – and the next day – and the next day after that – and every day until our demand is met – no new oil and gas in the UK…”</w:t>
      </w:r>
      <w:r w:rsidR="002B6BD2">
        <w:rPr>
          <w:i/>
          <w:iCs/>
          <w:sz w:val="24"/>
        </w:rPr>
        <w:t xml:space="preserve"> </w:t>
      </w:r>
      <w:r w:rsidR="002B6BD2">
        <w:rPr>
          <w:sz w:val="24"/>
        </w:rPr>
        <w:t>(October 2022)</w:t>
      </w:r>
      <w:r w:rsidRPr="00083184">
        <w:rPr>
          <w:sz w:val="24"/>
        </w:rPr>
        <w:t>.</w:t>
      </w:r>
      <w:r w:rsidR="007A77D2">
        <w:rPr>
          <w:sz w:val="24"/>
        </w:rPr>
        <w:t xml:space="preserve"> </w:t>
      </w:r>
      <w:r w:rsidR="007A77D2">
        <w:rPr>
          <w:b/>
          <w:bCs/>
          <w:sz w:val="24"/>
        </w:rPr>
        <w:t>[</w:t>
      </w:r>
      <w:r w:rsidR="00C13BF5">
        <w:rPr>
          <w:b/>
          <w:bCs/>
          <w:sz w:val="24"/>
        </w:rPr>
        <w:t>EB2/399</w:t>
      </w:r>
      <w:r w:rsidR="007A77D2">
        <w:rPr>
          <w:b/>
          <w:bCs/>
          <w:sz w:val="24"/>
        </w:rPr>
        <w:t>]</w:t>
      </w:r>
    </w:p>
    <w:p w14:paraId="3CA8B27C" w14:textId="1F446F59" w:rsidR="00731F98" w:rsidRPr="00083184" w:rsidRDefault="00731F98" w:rsidP="00731F98">
      <w:pPr>
        <w:pStyle w:val="ListParagraph"/>
        <w:numPr>
          <w:ilvl w:val="3"/>
          <w:numId w:val="15"/>
        </w:numPr>
        <w:tabs>
          <w:tab w:val="left" w:pos="567"/>
        </w:tabs>
        <w:spacing w:before="160" w:line="360" w:lineRule="auto"/>
        <w:ind w:left="2835" w:right="118" w:hanging="567"/>
        <w:rPr>
          <w:sz w:val="24"/>
        </w:rPr>
      </w:pPr>
      <w:r w:rsidRPr="00731F98">
        <w:rPr>
          <w:i/>
          <w:iCs/>
          <w:sz w:val="24"/>
        </w:rPr>
        <w:t xml:space="preserve">"It's time to get off the sidelines and join in civil resistance to end new oil, gas and coal" </w:t>
      </w:r>
      <w:r w:rsidRPr="00731F98">
        <w:rPr>
          <w:sz w:val="24"/>
        </w:rPr>
        <w:t>(July 2023)</w:t>
      </w:r>
      <w:r>
        <w:rPr>
          <w:sz w:val="24"/>
        </w:rPr>
        <w:t>:</w:t>
      </w:r>
      <w:r w:rsidRPr="00731F98">
        <w:rPr>
          <w:sz w:val="24"/>
        </w:rPr>
        <w:t xml:space="preserve"> Armstrong 5, §33</w:t>
      </w:r>
      <w:r>
        <w:rPr>
          <w:sz w:val="24"/>
        </w:rPr>
        <w:t xml:space="preserve"> </w:t>
      </w:r>
      <w:r>
        <w:rPr>
          <w:b/>
          <w:bCs/>
          <w:sz w:val="24"/>
        </w:rPr>
        <w:t>[</w:t>
      </w:r>
      <w:r w:rsidR="00C13BF5">
        <w:rPr>
          <w:b/>
          <w:bCs/>
          <w:sz w:val="24"/>
        </w:rPr>
        <w:t>HB/</w:t>
      </w:r>
      <w:r w:rsidR="00D7791E">
        <w:rPr>
          <w:b/>
          <w:bCs/>
          <w:sz w:val="24"/>
        </w:rPr>
        <w:t>242</w:t>
      </w:r>
      <w:r>
        <w:rPr>
          <w:b/>
          <w:bCs/>
          <w:sz w:val="24"/>
        </w:rPr>
        <w:t>]</w:t>
      </w:r>
      <w:r w:rsidRPr="00731F98">
        <w:rPr>
          <w:sz w:val="24"/>
        </w:rPr>
        <w:t>.</w:t>
      </w:r>
    </w:p>
    <w:p w14:paraId="02354A7C" w14:textId="07773163" w:rsidR="004F275D" w:rsidRDefault="004F275D" w:rsidP="004231F0">
      <w:pPr>
        <w:pStyle w:val="ListParagraph"/>
        <w:numPr>
          <w:ilvl w:val="0"/>
          <w:numId w:val="15"/>
        </w:numPr>
        <w:tabs>
          <w:tab w:val="left" w:pos="567"/>
        </w:tabs>
        <w:spacing w:before="160" w:line="360" w:lineRule="auto"/>
        <w:ind w:left="567" w:right="118" w:hanging="567"/>
        <w:rPr>
          <w:sz w:val="24"/>
        </w:rPr>
      </w:pPr>
      <w:r w:rsidRPr="00083184">
        <w:rPr>
          <w:sz w:val="24"/>
        </w:rPr>
        <w:t xml:space="preserve">Although the amount of direct action has decreased in intensity since April 2022, </w:t>
      </w:r>
      <w:r w:rsidR="00EF0DE7">
        <w:rPr>
          <w:sz w:val="24"/>
        </w:rPr>
        <w:t xml:space="preserve">and the Sites themselves have not been directly targeted, </w:t>
      </w:r>
      <w:r w:rsidR="00DD39DF" w:rsidRPr="00083184">
        <w:rPr>
          <w:sz w:val="24"/>
        </w:rPr>
        <w:t xml:space="preserve">this is likely for the reasons set out </w:t>
      </w:r>
      <w:r w:rsidR="00132582">
        <w:rPr>
          <w:sz w:val="24"/>
        </w:rPr>
        <w:t xml:space="preserve">in </w:t>
      </w:r>
      <w:r w:rsidR="00DD39DF" w:rsidRPr="00083184">
        <w:rPr>
          <w:sz w:val="24"/>
        </w:rPr>
        <w:t>Armstrong</w:t>
      </w:r>
      <w:r w:rsidR="00CA3957">
        <w:rPr>
          <w:sz w:val="24"/>
        </w:rPr>
        <w:t xml:space="preserve"> </w:t>
      </w:r>
      <w:r w:rsidR="00132582">
        <w:rPr>
          <w:sz w:val="24"/>
        </w:rPr>
        <w:t>4, §12</w:t>
      </w:r>
      <w:r w:rsidR="00CB2340">
        <w:rPr>
          <w:sz w:val="24"/>
        </w:rPr>
        <w:t xml:space="preserve"> </w:t>
      </w:r>
      <w:r w:rsidR="00F60F14" w:rsidRPr="00901144">
        <w:rPr>
          <w:b/>
          <w:sz w:val="24"/>
        </w:rPr>
        <w:t>[</w:t>
      </w:r>
      <w:r w:rsidR="00D7791E">
        <w:rPr>
          <w:b/>
          <w:sz w:val="24"/>
        </w:rPr>
        <w:t>HB/222</w:t>
      </w:r>
      <w:r w:rsidR="00F60F14" w:rsidRPr="00901144">
        <w:rPr>
          <w:b/>
          <w:sz w:val="24"/>
        </w:rPr>
        <w:t>]</w:t>
      </w:r>
      <w:r w:rsidR="00D70095">
        <w:rPr>
          <w:b/>
          <w:sz w:val="24"/>
        </w:rPr>
        <w:t xml:space="preserve"> </w:t>
      </w:r>
      <w:r w:rsidR="00CA3957">
        <w:rPr>
          <w:sz w:val="24"/>
        </w:rPr>
        <w:t xml:space="preserve">– i.e. </w:t>
      </w:r>
      <w:r w:rsidR="00DE2376" w:rsidRPr="00083184">
        <w:rPr>
          <w:sz w:val="24"/>
        </w:rPr>
        <w:t>i</w:t>
      </w:r>
      <w:r w:rsidR="00DD39DF" w:rsidRPr="00083184">
        <w:rPr>
          <w:sz w:val="24"/>
        </w:rPr>
        <w:t xml:space="preserve">t is the very existence of </w:t>
      </w:r>
      <w:r w:rsidR="00DE2376" w:rsidRPr="00083184">
        <w:rPr>
          <w:sz w:val="24"/>
        </w:rPr>
        <w:t xml:space="preserve">injunctions which are likely having this effect. </w:t>
      </w:r>
      <w:r w:rsidR="0098784E">
        <w:rPr>
          <w:sz w:val="24"/>
        </w:rPr>
        <w:t xml:space="preserve">See e.g. tweet from JSO dated June 2023 (and retweeted by Extinction Rebellion) which refers specifically to the injunctions having that deterrent effect: Armstrong 4, §12(b). </w:t>
      </w:r>
    </w:p>
    <w:p w14:paraId="49A580ED" w14:textId="77777777" w:rsidR="00BB57FF" w:rsidRDefault="00BB57FF">
      <w:pPr>
        <w:pStyle w:val="BodyText"/>
        <w:rPr>
          <w:sz w:val="26"/>
        </w:rPr>
      </w:pPr>
    </w:p>
    <w:p w14:paraId="3DA43932" w14:textId="77777777" w:rsidR="00933D22" w:rsidRPr="00083184" w:rsidRDefault="00933D22">
      <w:pPr>
        <w:pStyle w:val="BodyText"/>
        <w:rPr>
          <w:sz w:val="26"/>
        </w:rPr>
      </w:pPr>
    </w:p>
    <w:p w14:paraId="46BAB36F" w14:textId="618ED7D2" w:rsidR="00B44B3B" w:rsidRDefault="00B44B3B" w:rsidP="00B44B3B">
      <w:pPr>
        <w:pStyle w:val="BodyText"/>
        <w:numPr>
          <w:ilvl w:val="0"/>
          <w:numId w:val="18"/>
        </w:numPr>
        <w:spacing w:after="240"/>
        <w:ind w:left="567" w:hanging="567"/>
        <w:rPr>
          <w:b/>
        </w:rPr>
      </w:pPr>
      <w:r>
        <w:rPr>
          <w:b/>
        </w:rPr>
        <w:t>GENERAL PRINCIPLES</w:t>
      </w:r>
    </w:p>
    <w:p w14:paraId="76B48144" w14:textId="16BCB963" w:rsidR="0098784E" w:rsidRDefault="0098784E" w:rsidP="004E022E">
      <w:pPr>
        <w:pStyle w:val="BodyText"/>
        <w:numPr>
          <w:ilvl w:val="0"/>
          <w:numId w:val="23"/>
        </w:numPr>
        <w:spacing w:after="240"/>
        <w:ind w:left="1134" w:hanging="567"/>
        <w:rPr>
          <w:b/>
        </w:rPr>
      </w:pPr>
      <w:r>
        <w:rPr>
          <w:b/>
        </w:rPr>
        <w:t xml:space="preserve">Final Injunctions </w:t>
      </w:r>
    </w:p>
    <w:p w14:paraId="4ACFAFD7" w14:textId="2562A3B8" w:rsidR="0098784E" w:rsidRDefault="0098784E" w:rsidP="00B44B3B">
      <w:pPr>
        <w:pStyle w:val="BodyText"/>
        <w:numPr>
          <w:ilvl w:val="0"/>
          <w:numId w:val="15"/>
        </w:numPr>
        <w:spacing w:after="240" w:line="360" w:lineRule="auto"/>
        <w:ind w:left="567" w:hanging="567"/>
        <w:jc w:val="both"/>
        <w:rPr>
          <w:bCs/>
        </w:rPr>
      </w:pPr>
      <w:r>
        <w:rPr>
          <w:bCs/>
        </w:rPr>
        <w:t xml:space="preserve">The jurisdiction to grant both interim and final injunctions is founded in s.37 of the Senior Courts Act 1981 which confers power on the High Court to grant such injunctions </w:t>
      </w:r>
      <w:r>
        <w:rPr>
          <w:bCs/>
          <w:i/>
          <w:iCs/>
        </w:rPr>
        <w:t>“in all cases in which it appears to the court to be just and convenient to do so”</w:t>
      </w:r>
      <w:r>
        <w:rPr>
          <w:bCs/>
        </w:rPr>
        <w:t xml:space="preserve"> and “</w:t>
      </w:r>
      <w:r>
        <w:rPr>
          <w:bCs/>
          <w:i/>
          <w:iCs/>
        </w:rPr>
        <w:t>on such terms and conditions as the court thinks fit”</w:t>
      </w:r>
      <w:r>
        <w:rPr>
          <w:bCs/>
        </w:rPr>
        <w:t xml:space="preserve">. </w:t>
      </w:r>
    </w:p>
    <w:p w14:paraId="37FE28A9" w14:textId="434AE4B6" w:rsidR="0098784E" w:rsidRDefault="0098784E" w:rsidP="00B44B3B">
      <w:pPr>
        <w:pStyle w:val="BodyText"/>
        <w:numPr>
          <w:ilvl w:val="0"/>
          <w:numId w:val="15"/>
        </w:numPr>
        <w:spacing w:after="240" w:line="360" w:lineRule="auto"/>
        <w:ind w:left="567" w:hanging="567"/>
        <w:jc w:val="both"/>
        <w:rPr>
          <w:bCs/>
        </w:rPr>
      </w:pPr>
      <w:r>
        <w:rPr>
          <w:bCs/>
        </w:rPr>
        <w:t xml:space="preserve">There is no jurisdictional impediment to the grant of a final injunction against persons unknown: </w:t>
      </w:r>
      <w:r>
        <w:rPr>
          <w:bCs/>
          <w:i/>
          <w:iCs/>
        </w:rPr>
        <w:t xml:space="preserve">London Borough of Barking and Dagenham v Persons Unknown </w:t>
      </w:r>
      <w:r>
        <w:rPr>
          <w:bCs/>
        </w:rPr>
        <w:t>[2023] QB 295</w:t>
      </w:r>
      <w:r w:rsidR="00AC1C9A">
        <w:rPr>
          <w:bCs/>
        </w:rPr>
        <w:t>,</w:t>
      </w:r>
      <w:r>
        <w:rPr>
          <w:bCs/>
        </w:rPr>
        <w:t xml:space="preserve"> §</w:t>
      </w:r>
      <w:r w:rsidR="00AC1C9A">
        <w:rPr>
          <w:bCs/>
        </w:rPr>
        <w:t>§</w:t>
      </w:r>
      <w:r>
        <w:rPr>
          <w:bCs/>
        </w:rPr>
        <w:t>93-96</w:t>
      </w:r>
      <w:r w:rsidR="00D533D7">
        <w:rPr>
          <w:bCs/>
        </w:rPr>
        <w:t xml:space="preserve"> </w:t>
      </w:r>
      <w:r w:rsidR="00D533D7" w:rsidRPr="003A6F49">
        <w:rPr>
          <w:b/>
          <w:bCs/>
        </w:rPr>
        <w:t>[AB/</w:t>
      </w:r>
      <w:r w:rsidR="00D533D7">
        <w:rPr>
          <w:b/>
          <w:bCs/>
        </w:rPr>
        <w:t>245</w:t>
      </w:r>
      <w:r w:rsidR="00D533D7" w:rsidRPr="003A6F49">
        <w:rPr>
          <w:b/>
          <w:bCs/>
        </w:rPr>
        <w:t>]</w:t>
      </w:r>
      <w:r>
        <w:rPr>
          <w:bCs/>
        </w:rPr>
        <w:t xml:space="preserve">. Judgment is awaited in respect of an appeal to the Supreme Court (now </w:t>
      </w:r>
      <w:r>
        <w:rPr>
          <w:bCs/>
          <w:i/>
          <w:iCs/>
        </w:rPr>
        <w:t>Wolverhampton CC v London Gypsies and Travellers</w:t>
      </w:r>
      <w:r>
        <w:rPr>
          <w:bCs/>
        </w:rPr>
        <w:t>) but the present law is as stated by the Court of Appeal</w:t>
      </w:r>
      <w:r w:rsidR="00AC1C9A">
        <w:rPr>
          <w:bCs/>
        </w:rPr>
        <w:t>.</w:t>
      </w:r>
      <w:r>
        <w:rPr>
          <w:rStyle w:val="FootnoteReference"/>
          <w:bCs/>
        </w:rPr>
        <w:footnoteReference w:id="10"/>
      </w:r>
    </w:p>
    <w:p w14:paraId="7FFE7AC6" w14:textId="214FF007" w:rsidR="0098784E" w:rsidRPr="00B65BB5" w:rsidRDefault="0098784E" w:rsidP="004E022E">
      <w:pPr>
        <w:pStyle w:val="BodyText"/>
        <w:numPr>
          <w:ilvl w:val="0"/>
          <w:numId w:val="23"/>
        </w:numPr>
        <w:spacing w:after="240" w:line="360" w:lineRule="auto"/>
        <w:ind w:left="1134" w:hanging="567"/>
        <w:jc w:val="both"/>
        <w:rPr>
          <w:b/>
        </w:rPr>
      </w:pPr>
      <w:r>
        <w:rPr>
          <w:b/>
        </w:rPr>
        <w:t xml:space="preserve">Summary Judgment </w:t>
      </w:r>
    </w:p>
    <w:p w14:paraId="03827E99" w14:textId="0D78BF8F" w:rsidR="00B44B3B" w:rsidRDefault="00B44B3B" w:rsidP="00B44B3B">
      <w:pPr>
        <w:pStyle w:val="BodyText"/>
        <w:numPr>
          <w:ilvl w:val="0"/>
          <w:numId w:val="15"/>
        </w:numPr>
        <w:spacing w:after="240" w:line="360" w:lineRule="auto"/>
        <w:ind w:left="567" w:hanging="567"/>
        <w:jc w:val="both"/>
        <w:rPr>
          <w:bCs/>
        </w:rPr>
      </w:pPr>
      <w:r>
        <w:rPr>
          <w:bCs/>
        </w:rPr>
        <w:t xml:space="preserve">The general principles applicable to a summary judgment application were set out by Lewison J in </w:t>
      </w:r>
      <w:r w:rsidRPr="0028128A">
        <w:rPr>
          <w:bCs/>
          <w:i/>
          <w:iCs/>
        </w:rPr>
        <w:t>Easyair Ltd v Opal Telecom Ltd</w:t>
      </w:r>
      <w:r w:rsidRPr="0028128A">
        <w:rPr>
          <w:bCs/>
        </w:rPr>
        <w:t xml:space="preserve"> [2009] EWHC 339 (Ch)</w:t>
      </w:r>
      <w:r>
        <w:rPr>
          <w:bCs/>
        </w:rPr>
        <w:t>,</w:t>
      </w:r>
      <w:r w:rsidRPr="0028128A">
        <w:rPr>
          <w:bCs/>
        </w:rPr>
        <w:t xml:space="preserve"> </w:t>
      </w:r>
      <w:r>
        <w:rPr>
          <w:bCs/>
        </w:rPr>
        <w:t>§</w:t>
      </w:r>
      <w:r w:rsidRPr="0028128A">
        <w:rPr>
          <w:bCs/>
        </w:rPr>
        <w:t>15</w:t>
      </w:r>
      <w:r w:rsidR="00D533D7">
        <w:rPr>
          <w:bCs/>
        </w:rPr>
        <w:t xml:space="preserve"> </w:t>
      </w:r>
      <w:r w:rsidR="00D533D7" w:rsidRPr="003A6F49">
        <w:rPr>
          <w:b/>
          <w:bCs/>
        </w:rPr>
        <w:t>[AB/</w:t>
      </w:r>
      <w:r w:rsidR="00584570">
        <w:rPr>
          <w:b/>
          <w:bCs/>
        </w:rPr>
        <w:t>9</w:t>
      </w:r>
      <w:r w:rsidR="00D533D7" w:rsidRPr="003A6F49">
        <w:rPr>
          <w:b/>
          <w:bCs/>
        </w:rPr>
        <w:t>]</w:t>
      </w:r>
      <w:r>
        <w:rPr>
          <w:bCs/>
        </w:rPr>
        <w:t xml:space="preserve">, and approved by the Court of Appeal in </w:t>
      </w:r>
      <w:r w:rsidRPr="00636A70">
        <w:rPr>
          <w:bCs/>
          <w:i/>
          <w:iCs/>
        </w:rPr>
        <w:t xml:space="preserve">AC Ward &amp; Sons Ltd v Catlin (Five) Ltd </w:t>
      </w:r>
      <w:r w:rsidRPr="00636A70">
        <w:rPr>
          <w:bCs/>
        </w:rPr>
        <w:t>[2009] EWCA Civ 1098; [2010] Lloyd’s Rep IR 301</w:t>
      </w:r>
      <w:r>
        <w:rPr>
          <w:bCs/>
        </w:rPr>
        <w:t>, §24 (Etherton LJ). In summary:</w:t>
      </w:r>
    </w:p>
    <w:p w14:paraId="403F6748" w14:textId="77777777" w:rsidR="00B44B3B" w:rsidRDefault="00B44B3B" w:rsidP="00B44B3B">
      <w:pPr>
        <w:pStyle w:val="BodyText"/>
        <w:numPr>
          <w:ilvl w:val="2"/>
          <w:numId w:val="15"/>
        </w:numPr>
        <w:spacing w:after="240" w:line="360" w:lineRule="auto"/>
        <w:ind w:left="1701" w:hanging="567"/>
        <w:jc w:val="both"/>
        <w:rPr>
          <w:bCs/>
        </w:rPr>
      </w:pPr>
      <w:r>
        <w:rPr>
          <w:bCs/>
        </w:rPr>
        <w:lastRenderedPageBreak/>
        <w:t>The Court must consider whether the applicant has a “</w:t>
      </w:r>
      <w:r>
        <w:rPr>
          <w:bCs/>
          <w:i/>
          <w:iCs/>
        </w:rPr>
        <w:t>realistic”</w:t>
      </w:r>
      <w:r>
        <w:rPr>
          <w:bCs/>
        </w:rPr>
        <w:t xml:space="preserve"> as opposed to “</w:t>
      </w:r>
      <w:r>
        <w:rPr>
          <w:bCs/>
          <w:i/>
          <w:iCs/>
        </w:rPr>
        <w:t>fanciful”</w:t>
      </w:r>
      <w:r>
        <w:rPr>
          <w:bCs/>
        </w:rPr>
        <w:t xml:space="preserve"> prospect of success. </w:t>
      </w:r>
    </w:p>
    <w:p w14:paraId="5B6A1BBB" w14:textId="77777777" w:rsidR="00B44B3B" w:rsidRDefault="00B44B3B" w:rsidP="00B44B3B">
      <w:pPr>
        <w:pStyle w:val="BodyText"/>
        <w:numPr>
          <w:ilvl w:val="2"/>
          <w:numId w:val="15"/>
        </w:numPr>
        <w:spacing w:after="240" w:line="360" w:lineRule="auto"/>
        <w:ind w:left="1701" w:hanging="567"/>
        <w:jc w:val="both"/>
        <w:rPr>
          <w:bCs/>
        </w:rPr>
      </w:pPr>
      <w:r>
        <w:rPr>
          <w:bCs/>
        </w:rPr>
        <w:t>A “</w:t>
      </w:r>
      <w:r>
        <w:rPr>
          <w:bCs/>
          <w:i/>
          <w:iCs/>
        </w:rPr>
        <w:t>realistic”</w:t>
      </w:r>
      <w:r>
        <w:rPr>
          <w:bCs/>
        </w:rPr>
        <w:t xml:space="preserve"> claim is one that carries some degree of conviction and is more than merely arguable. </w:t>
      </w:r>
    </w:p>
    <w:p w14:paraId="10B6C854" w14:textId="77777777" w:rsidR="00B44B3B" w:rsidRDefault="00B44B3B" w:rsidP="00B44B3B">
      <w:pPr>
        <w:pStyle w:val="BodyText"/>
        <w:numPr>
          <w:ilvl w:val="2"/>
          <w:numId w:val="15"/>
        </w:numPr>
        <w:spacing w:after="240" w:line="360" w:lineRule="auto"/>
        <w:ind w:left="1701" w:hanging="567"/>
        <w:jc w:val="both"/>
        <w:rPr>
          <w:bCs/>
        </w:rPr>
      </w:pPr>
      <w:r>
        <w:rPr>
          <w:bCs/>
        </w:rPr>
        <w:t xml:space="preserve">In reaching its conclusion, the Court must not conduct a mini-trial. But this does not mean that </w:t>
      </w:r>
      <w:r w:rsidRPr="001836C2">
        <w:rPr>
          <w:bCs/>
        </w:rPr>
        <w:t>the court must take at face value and without analysis everything that a</w:t>
      </w:r>
      <w:r>
        <w:rPr>
          <w:bCs/>
        </w:rPr>
        <w:t xml:space="preserve">n applicant </w:t>
      </w:r>
      <w:r w:rsidRPr="001836C2">
        <w:rPr>
          <w:bCs/>
        </w:rPr>
        <w:t>says in his statements before the court.</w:t>
      </w:r>
      <w:r>
        <w:rPr>
          <w:bCs/>
        </w:rPr>
        <w:t xml:space="preserve"> </w:t>
      </w:r>
      <w:r w:rsidRPr="001836C2">
        <w:rPr>
          <w:bCs/>
        </w:rPr>
        <w:t>In some cases it may be clear that there is no real substance in factual assertions made, particularly if contradicted by contemporaneous documents</w:t>
      </w:r>
      <w:r>
        <w:rPr>
          <w:bCs/>
        </w:rPr>
        <w:t>.</w:t>
      </w:r>
    </w:p>
    <w:p w14:paraId="4F2FE780" w14:textId="77777777" w:rsidR="00B44B3B" w:rsidRDefault="00B44B3B" w:rsidP="00B44B3B">
      <w:pPr>
        <w:pStyle w:val="BodyText"/>
        <w:numPr>
          <w:ilvl w:val="2"/>
          <w:numId w:val="15"/>
        </w:numPr>
        <w:spacing w:after="240" w:line="360" w:lineRule="auto"/>
        <w:ind w:left="1701" w:hanging="567"/>
        <w:jc w:val="both"/>
        <w:rPr>
          <w:bCs/>
        </w:rPr>
      </w:pPr>
      <w:r>
        <w:rPr>
          <w:bCs/>
        </w:rPr>
        <w:t>T</w:t>
      </w:r>
      <w:r w:rsidRPr="006F3920">
        <w:rPr>
          <w:bCs/>
        </w:rPr>
        <w:t>he court should hesitate about making a final decision without a trial, even where there is no obvious conflict of fact at the time of the application, where reasonable grounds exist for believing that a fuller investigation into the facts of the case would add to or alter the evidence available to a trial judge and so affect the outcome of the case</w:t>
      </w:r>
      <w:r>
        <w:rPr>
          <w:bCs/>
        </w:rPr>
        <w:t>.</w:t>
      </w:r>
    </w:p>
    <w:p w14:paraId="7BD1010C" w14:textId="77777777" w:rsidR="00B44B3B" w:rsidRPr="00682984" w:rsidRDefault="00B44B3B" w:rsidP="00B44B3B">
      <w:pPr>
        <w:pStyle w:val="BodyText"/>
        <w:numPr>
          <w:ilvl w:val="2"/>
          <w:numId w:val="15"/>
        </w:numPr>
        <w:spacing w:after="240" w:line="360" w:lineRule="auto"/>
        <w:ind w:left="1701" w:hanging="567"/>
        <w:jc w:val="both"/>
        <w:rPr>
          <w:bCs/>
        </w:rPr>
      </w:pPr>
      <w:r>
        <w:rPr>
          <w:bCs/>
        </w:rPr>
        <w:t xml:space="preserve">If there is </w:t>
      </w:r>
      <w:r w:rsidRPr="00F81D32">
        <w:rPr>
          <w:bCs/>
        </w:rPr>
        <w:t>a short point of law or construction and, if the court is satisfied that it has before it all the evidence necessary for the proper determination of the question and that the parties have had an adequate opportunity to address it in argument, it should grasp the nettle and decide it.</w:t>
      </w:r>
    </w:p>
    <w:p w14:paraId="5BB3B89B" w14:textId="575A230A" w:rsidR="005B3B58" w:rsidRPr="005B3B58" w:rsidRDefault="0098784E" w:rsidP="00B44B3B">
      <w:pPr>
        <w:pStyle w:val="BodyText"/>
        <w:numPr>
          <w:ilvl w:val="0"/>
          <w:numId w:val="15"/>
        </w:numPr>
        <w:spacing w:after="240" w:line="360" w:lineRule="auto"/>
        <w:ind w:left="567" w:hanging="567"/>
        <w:jc w:val="both"/>
        <w:rPr>
          <w:bCs/>
        </w:rPr>
      </w:pPr>
      <w:r>
        <w:rPr>
          <w:bCs/>
        </w:rPr>
        <w:t xml:space="preserve">Principles (d) and (e) call into play the following statement of Cockerill J in </w:t>
      </w:r>
      <w:r>
        <w:rPr>
          <w:bCs/>
          <w:i/>
          <w:iCs/>
        </w:rPr>
        <w:t>King v Stiefel</w:t>
      </w:r>
      <w:r w:rsidR="005B3B58">
        <w:t xml:space="preserve"> [2022] 1 All ER </w:t>
      </w:r>
      <w:r w:rsidR="001F0DEA">
        <w:t>(Comm) 990</w:t>
      </w:r>
      <w:r w:rsidR="00AA6C33">
        <w:t xml:space="preserve"> </w:t>
      </w:r>
      <w:r w:rsidR="00AA6C33" w:rsidRPr="003A6F49">
        <w:rPr>
          <w:b/>
          <w:bCs/>
        </w:rPr>
        <w:t>[AB/</w:t>
      </w:r>
      <w:r w:rsidR="00174D17">
        <w:rPr>
          <w:b/>
          <w:bCs/>
        </w:rPr>
        <w:t>106</w:t>
      </w:r>
      <w:r w:rsidR="00AA6C33" w:rsidRPr="003A6F49">
        <w:rPr>
          <w:b/>
          <w:bCs/>
        </w:rPr>
        <w:t>]</w:t>
      </w:r>
      <w:r w:rsidR="001F0DEA">
        <w:t xml:space="preserve"> </w:t>
      </w:r>
      <w:r w:rsidR="005B3B58">
        <w:t xml:space="preserve">(cited in </w:t>
      </w:r>
      <w:r w:rsidR="00F607D9">
        <w:t xml:space="preserve">the </w:t>
      </w:r>
      <w:r w:rsidR="00F607D9">
        <w:rPr>
          <w:i/>
          <w:iCs/>
        </w:rPr>
        <w:t xml:space="preserve">White Book </w:t>
      </w:r>
      <w:r w:rsidR="00F607D9">
        <w:t>at §</w:t>
      </w:r>
      <w:r w:rsidR="005B3B58">
        <w:t xml:space="preserve">24.2.3): </w:t>
      </w:r>
    </w:p>
    <w:p w14:paraId="41A44F74" w14:textId="79DE28EA" w:rsidR="005B3B58" w:rsidRDefault="005B3B58" w:rsidP="00F607D9">
      <w:pPr>
        <w:pStyle w:val="BodyText"/>
        <w:tabs>
          <w:tab w:val="left" w:pos="1134"/>
        </w:tabs>
        <w:spacing w:after="240"/>
        <w:ind w:left="1134" w:right="623"/>
        <w:jc w:val="both"/>
      </w:pPr>
      <w:r>
        <w:t xml:space="preserve">“21. The authorities therefore make clear that in the context of summary judgment the court is by no means barred from evaluating the evidence, and concluding that on the evidence there is no real (as opposed to fanciful) prospect of success. It will of course be cautious in doing so. It will bear in mind the clarity of the evidence available and the potential for other evidence to be available at trial which is likely to bear on the issues. It will avoid conducting a mini-trial. But there will be cases where the court will be entitled to draw a line and say that even bearing well in mind all of those points it would be contrary to principle for a case to proceed to trial. </w:t>
      </w:r>
    </w:p>
    <w:p w14:paraId="461E2465" w14:textId="53077703" w:rsidR="005B3B58" w:rsidRPr="005B3B58" w:rsidRDefault="005B3B58" w:rsidP="00F607D9">
      <w:pPr>
        <w:pStyle w:val="BodyText"/>
        <w:tabs>
          <w:tab w:val="left" w:pos="1134"/>
        </w:tabs>
        <w:spacing w:after="240"/>
        <w:ind w:left="1134" w:right="623"/>
        <w:jc w:val="both"/>
        <w:rPr>
          <w:bCs/>
        </w:rPr>
      </w:pPr>
      <w:r>
        <w:t>22. So, when faced with a summary judgment application it is not enough to say, with Mr Micawber, that something may turn up</w:t>
      </w:r>
      <w:r w:rsidR="00174D17">
        <w:t>..</w:t>
      </w:r>
      <w:r>
        <w:t xml:space="preserve">.” </w:t>
      </w:r>
    </w:p>
    <w:p w14:paraId="1C222A9D" w14:textId="17D47E56" w:rsidR="00B44B3B" w:rsidRDefault="00B44B3B" w:rsidP="00B44B3B">
      <w:pPr>
        <w:pStyle w:val="BodyText"/>
        <w:numPr>
          <w:ilvl w:val="0"/>
          <w:numId w:val="15"/>
        </w:numPr>
        <w:spacing w:after="240" w:line="360" w:lineRule="auto"/>
        <w:ind w:left="567" w:hanging="567"/>
        <w:jc w:val="both"/>
        <w:rPr>
          <w:bCs/>
        </w:rPr>
      </w:pPr>
      <w:r>
        <w:rPr>
          <w:bCs/>
        </w:rPr>
        <w:t>The overall burden of proof is on the applicant but i</w:t>
      </w:r>
      <w:r w:rsidRPr="003216A2">
        <w:rPr>
          <w:bCs/>
        </w:rPr>
        <w:t xml:space="preserve">f an applicant adduces credible evidence in support of the application, the respondent then comes under an evidential burden to prove </w:t>
      </w:r>
      <w:r w:rsidRPr="003216A2">
        <w:rPr>
          <w:bCs/>
        </w:rPr>
        <w:lastRenderedPageBreak/>
        <w:t xml:space="preserve">some real prospect of success or other reason for having a trial: </w:t>
      </w:r>
      <w:r w:rsidRPr="007B7F69">
        <w:rPr>
          <w:bCs/>
          <w:i/>
          <w:iCs/>
        </w:rPr>
        <w:t xml:space="preserve">Sainsbury’s Supermarkets Ltd v Condek Holdings Ltd </w:t>
      </w:r>
      <w:r w:rsidRPr="003216A2">
        <w:rPr>
          <w:bCs/>
        </w:rPr>
        <w:t>[2014] EWHC 2016</w:t>
      </w:r>
      <w:r>
        <w:rPr>
          <w:bCs/>
        </w:rPr>
        <w:t>,</w:t>
      </w:r>
      <w:r w:rsidRPr="003216A2">
        <w:rPr>
          <w:bCs/>
        </w:rPr>
        <w:t xml:space="preserve"> </w:t>
      </w:r>
      <w:r>
        <w:rPr>
          <w:bCs/>
        </w:rPr>
        <w:t>§</w:t>
      </w:r>
      <w:r w:rsidRPr="003216A2">
        <w:rPr>
          <w:bCs/>
        </w:rPr>
        <w:t>13</w:t>
      </w:r>
      <w:r>
        <w:rPr>
          <w:bCs/>
        </w:rPr>
        <w:t xml:space="preserve"> (Stuart-Smith J)</w:t>
      </w:r>
      <w:r w:rsidR="00174D17">
        <w:rPr>
          <w:bCs/>
        </w:rPr>
        <w:t xml:space="preserve"> </w:t>
      </w:r>
      <w:r w:rsidR="00174D17" w:rsidRPr="003A6F49">
        <w:rPr>
          <w:b/>
          <w:bCs/>
        </w:rPr>
        <w:t>[AB/</w:t>
      </w:r>
      <w:r w:rsidR="006F4272">
        <w:rPr>
          <w:b/>
          <w:bCs/>
        </w:rPr>
        <w:t>21</w:t>
      </w:r>
      <w:r w:rsidR="00174D17" w:rsidRPr="003A6F49">
        <w:rPr>
          <w:b/>
          <w:bCs/>
        </w:rPr>
        <w:t>]</w:t>
      </w:r>
      <w:r w:rsidRPr="003216A2">
        <w:rPr>
          <w:bCs/>
        </w:rPr>
        <w:t>.</w:t>
      </w:r>
    </w:p>
    <w:p w14:paraId="65C9893F" w14:textId="4A0C3D56" w:rsidR="00B44B3B" w:rsidRDefault="00B44B3B" w:rsidP="00B44B3B">
      <w:pPr>
        <w:pStyle w:val="BodyText"/>
        <w:numPr>
          <w:ilvl w:val="0"/>
          <w:numId w:val="15"/>
        </w:numPr>
        <w:spacing w:after="240" w:line="360" w:lineRule="auto"/>
        <w:ind w:left="567" w:hanging="567"/>
        <w:jc w:val="both"/>
        <w:rPr>
          <w:bCs/>
        </w:rPr>
      </w:pPr>
      <w:r>
        <w:rPr>
          <w:bCs/>
        </w:rPr>
        <w:t xml:space="preserve">The test for summary judgment is no different where an applicant is seeking a final anticipatory injunction in the context of protest: </w:t>
      </w:r>
      <w:r>
        <w:rPr>
          <w:bCs/>
          <w:i/>
          <w:iCs/>
        </w:rPr>
        <w:t xml:space="preserve">National Highways Ltd v Persons Unknown </w:t>
      </w:r>
      <w:r>
        <w:rPr>
          <w:bCs/>
        </w:rPr>
        <w:t>[2023] 1 WLR 2088 (“</w:t>
      </w:r>
      <w:r w:rsidRPr="004A6B70">
        <w:rPr>
          <w:b/>
          <w:i/>
          <w:iCs/>
        </w:rPr>
        <w:t>National Highways</w:t>
      </w:r>
      <w:r>
        <w:rPr>
          <w:bCs/>
          <w:i/>
          <w:iCs/>
        </w:rPr>
        <w:t>”)</w:t>
      </w:r>
      <w:r>
        <w:rPr>
          <w:bCs/>
        </w:rPr>
        <w:t>, §40</w:t>
      </w:r>
      <w:r w:rsidR="006F4272">
        <w:rPr>
          <w:bCs/>
        </w:rPr>
        <w:t xml:space="preserve"> </w:t>
      </w:r>
      <w:r w:rsidR="006F4272" w:rsidRPr="003A6F49">
        <w:rPr>
          <w:b/>
          <w:bCs/>
        </w:rPr>
        <w:t>[AB/</w:t>
      </w:r>
      <w:r w:rsidR="006F4272">
        <w:rPr>
          <w:b/>
          <w:bCs/>
        </w:rPr>
        <w:t>369</w:t>
      </w:r>
      <w:r w:rsidR="006F4272" w:rsidRPr="003A6F49">
        <w:rPr>
          <w:b/>
          <w:bCs/>
        </w:rPr>
        <w:t>]</w:t>
      </w:r>
      <w:r>
        <w:rPr>
          <w:bCs/>
        </w:rPr>
        <w:t>. The fact that such defendants have served no defence or evidence or otherwise engaged with the proceedings is of considerable relevance when applying th</w:t>
      </w:r>
      <w:r w:rsidR="005B3B58">
        <w:rPr>
          <w:bCs/>
        </w:rPr>
        <w:t xml:space="preserve">e summary judgment </w:t>
      </w:r>
      <w:r>
        <w:rPr>
          <w:bCs/>
        </w:rPr>
        <w:t xml:space="preserve">test as it indicates the absence of any arguable defence: </w:t>
      </w:r>
      <w:r>
        <w:rPr>
          <w:bCs/>
          <w:i/>
          <w:iCs/>
        </w:rPr>
        <w:t>National Highways</w:t>
      </w:r>
      <w:r>
        <w:rPr>
          <w:bCs/>
        </w:rPr>
        <w:t>, §§40-41.</w:t>
      </w:r>
    </w:p>
    <w:p w14:paraId="4179CF92" w14:textId="77777777" w:rsidR="00B44B3B" w:rsidRPr="00B44B3B" w:rsidRDefault="00B44B3B" w:rsidP="00B44B3B">
      <w:pPr>
        <w:pStyle w:val="BodyText"/>
        <w:spacing w:after="240" w:line="360" w:lineRule="auto"/>
        <w:ind w:left="567"/>
        <w:jc w:val="both"/>
        <w:rPr>
          <w:bCs/>
          <w:sz w:val="6"/>
          <w:szCs w:val="6"/>
        </w:rPr>
      </w:pPr>
    </w:p>
    <w:p w14:paraId="49A5811D" w14:textId="577D866B" w:rsidR="00BB57FF" w:rsidRPr="008A0D37" w:rsidRDefault="001E19E7" w:rsidP="001439E9">
      <w:pPr>
        <w:pStyle w:val="ListParagraph"/>
        <w:numPr>
          <w:ilvl w:val="0"/>
          <w:numId w:val="18"/>
        </w:numPr>
        <w:spacing w:after="240"/>
        <w:ind w:left="567" w:hanging="567"/>
        <w:rPr>
          <w:b/>
          <w:sz w:val="24"/>
        </w:rPr>
      </w:pPr>
      <w:r w:rsidRPr="008A0D37">
        <w:rPr>
          <w:b/>
          <w:sz w:val="24"/>
        </w:rPr>
        <w:t>GROUNDS</w:t>
      </w:r>
      <w:r w:rsidRPr="008A0D37">
        <w:rPr>
          <w:b/>
          <w:spacing w:val="-1"/>
          <w:sz w:val="24"/>
        </w:rPr>
        <w:t xml:space="preserve"> </w:t>
      </w:r>
      <w:r w:rsidRPr="008A0D37">
        <w:rPr>
          <w:b/>
          <w:sz w:val="24"/>
        </w:rPr>
        <w:t>FOR</w:t>
      </w:r>
      <w:r w:rsidRPr="008A0D37">
        <w:rPr>
          <w:b/>
          <w:spacing w:val="-2"/>
          <w:sz w:val="24"/>
        </w:rPr>
        <w:t xml:space="preserve"> </w:t>
      </w:r>
      <w:r w:rsidRPr="008A0D37">
        <w:rPr>
          <w:b/>
          <w:sz w:val="24"/>
        </w:rPr>
        <w:t>THE</w:t>
      </w:r>
      <w:r w:rsidRPr="008A0D37">
        <w:rPr>
          <w:b/>
          <w:spacing w:val="-1"/>
          <w:sz w:val="24"/>
        </w:rPr>
        <w:t xml:space="preserve"> </w:t>
      </w:r>
      <w:r w:rsidRPr="008A0D37">
        <w:rPr>
          <w:b/>
          <w:spacing w:val="-2"/>
          <w:sz w:val="24"/>
        </w:rPr>
        <w:t>APPLICATION</w:t>
      </w:r>
    </w:p>
    <w:p w14:paraId="5EE275D8" w14:textId="76815885" w:rsidR="001439E9" w:rsidRDefault="001439E9" w:rsidP="001439E9">
      <w:pPr>
        <w:pStyle w:val="ListParagraph"/>
        <w:numPr>
          <w:ilvl w:val="0"/>
          <w:numId w:val="15"/>
        </w:numPr>
        <w:tabs>
          <w:tab w:val="left" w:pos="567"/>
        </w:tabs>
        <w:spacing w:after="240" w:line="360" w:lineRule="auto"/>
        <w:ind w:left="567" w:right="116" w:hanging="567"/>
        <w:rPr>
          <w:sz w:val="24"/>
        </w:rPr>
      </w:pPr>
      <w:r>
        <w:rPr>
          <w:sz w:val="24"/>
        </w:rPr>
        <w:t xml:space="preserve">The </w:t>
      </w:r>
      <w:r w:rsidR="003A388F">
        <w:rPr>
          <w:sz w:val="24"/>
        </w:rPr>
        <w:t xml:space="preserve">Claimants </w:t>
      </w:r>
      <w:r w:rsidR="006768E6">
        <w:rPr>
          <w:sz w:val="24"/>
        </w:rPr>
        <w:t xml:space="preserve">must be able to </w:t>
      </w:r>
      <w:r w:rsidR="00826CDE">
        <w:rPr>
          <w:sz w:val="24"/>
        </w:rPr>
        <w:t xml:space="preserve">show that </w:t>
      </w:r>
      <w:r w:rsidR="00976F8A">
        <w:rPr>
          <w:sz w:val="24"/>
        </w:rPr>
        <w:t>the Defendants have no</w:t>
      </w:r>
      <w:r w:rsidR="00826CDE">
        <w:rPr>
          <w:sz w:val="24"/>
        </w:rPr>
        <w:t xml:space="preserve"> realistic prospect of </w:t>
      </w:r>
      <w:r w:rsidR="0087741A">
        <w:rPr>
          <w:sz w:val="24"/>
        </w:rPr>
        <w:t xml:space="preserve">successfully </w:t>
      </w:r>
      <w:r w:rsidR="00976F8A">
        <w:rPr>
          <w:sz w:val="24"/>
        </w:rPr>
        <w:t xml:space="preserve">defending the claim </w:t>
      </w:r>
      <w:r w:rsidR="00CC6ED4">
        <w:rPr>
          <w:sz w:val="24"/>
        </w:rPr>
        <w:t>in relation to the following criteria</w:t>
      </w:r>
      <w:r w:rsidR="0087741A">
        <w:rPr>
          <w:sz w:val="24"/>
        </w:rPr>
        <w:t>:</w:t>
      </w:r>
    </w:p>
    <w:p w14:paraId="71A04CE8" w14:textId="3450A246" w:rsidR="0087741A" w:rsidRDefault="00CC6ED4" w:rsidP="004F587A">
      <w:pPr>
        <w:pStyle w:val="ListParagraph"/>
        <w:numPr>
          <w:ilvl w:val="0"/>
          <w:numId w:val="20"/>
        </w:numPr>
        <w:tabs>
          <w:tab w:val="left" w:pos="567"/>
        </w:tabs>
        <w:spacing w:after="240" w:line="360" w:lineRule="auto"/>
        <w:ind w:left="1701" w:right="116" w:hanging="567"/>
        <w:rPr>
          <w:sz w:val="24"/>
        </w:rPr>
      </w:pPr>
      <w:r>
        <w:rPr>
          <w:sz w:val="24"/>
        </w:rPr>
        <w:t>Whether there is</w:t>
      </w:r>
      <w:r w:rsidR="009068E2">
        <w:rPr>
          <w:sz w:val="24"/>
        </w:rPr>
        <w:t xml:space="preserve"> a specific cause of action.</w:t>
      </w:r>
    </w:p>
    <w:p w14:paraId="10A5B2B4" w14:textId="039763B2" w:rsidR="004F587A" w:rsidRDefault="00866887" w:rsidP="004F587A">
      <w:pPr>
        <w:pStyle w:val="ListParagraph"/>
        <w:numPr>
          <w:ilvl w:val="0"/>
          <w:numId w:val="20"/>
        </w:numPr>
        <w:tabs>
          <w:tab w:val="left" w:pos="567"/>
        </w:tabs>
        <w:spacing w:after="240" w:line="360" w:lineRule="auto"/>
        <w:ind w:left="1701" w:right="116" w:hanging="567"/>
        <w:rPr>
          <w:sz w:val="24"/>
        </w:rPr>
      </w:pPr>
      <w:r>
        <w:rPr>
          <w:sz w:val="24"/>
        </w:rPr>
        <w:t xml:space="preserve">As the claim is brought against persons unknown, </w:t>
      </w:r>
      <w:r w:rsidR="00CC6ED4">
        <w:rPr>
          <w:sz w:val="24"/>
        </w:rPr>
        <w:t xml:space="preserve">whether </w:t>
      </w:r>
      <w:r w:rsidR="00E472AE">
        <w:rPr>
          <w:sz w:val="24"/>
        </w:rPr>
        <w:t xml:space="preserve">the </w:t>
      </w:r>
      <w:r w:rsidR="002D5973">
        <w:rPr>
          <w:sz w:val="24"/>
        </w:rPr>
        <w:t>criteria</w:t>
      </w:r>
      <w:r w:rsidR="00E472AE">
        <w:rPr>
          <w:sz w:val="24"/>
        </w:rPr>
        <w:t xml:space="preserve"> </w:t>
      </w:r>
      <w:r w:rsidR="00FE1400">
        <w:rPr>
          <w:sz w:val="24"/>
        </w:rPr>
        <w:t xml:space="preserve">in </w:t>
      </w:r>
      <w:r w:rsidR="00FE1400">
        <w:rPr>
          <w:i/>
          <w:iCs/>
          <w:sz w:val="24"/>
        </w:rPr>
        <w:t xml:space="preserve">Canada Goose UK Retail Ltd v Persons Unknown </w:t>
      </w:r>
      <w:r w:rsidR="00FE1400">
        <w:rPr>
          <w:sz w:val="24"/>
        </w:rPr>
        <w:t>[2020] 1 WLR 2802</w:t>
      </w:r>
      <w:r w:rsidR="002D5973">
        <w:rPr>
          <w:sz w:val="24"/>
        </w:rPr>
        <w:t>, §82</w:t>
      </w:r>
      <w:r w:rsidR="00483998">
        <w:rPr>
          <w:sz w:val="24"/>
        </w:rPr>
        <w:t xml:space="preserve"> </w:t>
      </w:r>
      <w:r w:rsidR="00483998" w:rsidRPr="003A6F49">
        <w:rPr>
          <w:b/>
          <w:bCs/>
          <w:sz w:val="24"/>
          <w:szCs w:val="24"/>
        </w:rPr>
        <w:t>[AB/</w:t>
      </w:r>
      <w:r w:rsidR="00483998">
        <w:rPr>
          <w:b/>
          <w:bCs/>
          <w:sz w:val="24"/>
          <w:szCs w:val="24"/>
        </w:rPr>
        <w:t>78</w:t>
      </w:r>
      <w:r w:rsidR="00483998" w:rsidRPr="003A6F49">
        <w:rPr>
          <w:b/>
          <w:bCs/>
          <w:sz w:val="24"/>
          <w:szCs w:val="24"/>
        </w:rPr>
        <w:t>]</w:t>
      </w:r>
      <w:r w:rsidR="002D5973">
        <w:rPr>
          <w:sz w:val="24"/>
        </w:rPr>
        <w:t xml:space="preserve">, are satisfied insofar as they apply to a final injunction.  </w:t>
      </w:r>
    </w:p>
    <w:p w14:paraId="7FCC0D90" w14:textId="0B217B5F" w:rsidR="004F587A" w:rsidRDefault="00CC6ED4" w:rsidP="004F587A">
      <w:pPr>
        <w:pStyle w:val="ListParagraph"/>
        <w:numPr>
          <w:ilvl w:val="0"/>
          <w:numId w:val="20"/>
        </w:numPr>
        <w:tabs>
          <w:tab w:val="left" w:pos="567"/>
        </w:tabs>
        <w:spacing w:after="240" w:line="360" w:lineRule="auto"/>
        <w:ind w:left="1701" w:right="116" w:hanging="567"/>
        <w:rPr>
          <w:sz w:val="24"/>
        </w:rPr>
      </w:pPr>
      <w:r>
        <w:rPr>
          <w:sz w:val="24"/>
        </w:rPr>
        <w:t xml:space="preserve">Whether </w:t>
      </w:r>
      <w:r w:rsidR="00053D38">
        <w:rPr>
          <w:sz w:val="24"/>
        </w:rPr>
        <w:t xml:space="preserve">there is </w:t>
      </w:r>
      <w:r>
        <w:rPr>
          <w:sz w:val="24"/>
        </w:rPr>
        <w:t>a</w:t>
      </w:r>
      <w:r w:rsidR="00BF5D2A">
        <w:rPr>
          <w:sz w:val="24"/>
        </w:rPr>
        <w:t>ny interference with the Article 10 and 11 ECHR rights of the Defendants</w:t>
      </w:r>
      <w:r w:rsidR="00053D38">
        <w:rPr>
          <w:sz w:val="24"/>
        </w:rPr>
        <w:t xml:space="preserve"> and, if so, if it</w:t>
      </w:r>
      <w:r w:rsidR="00BF5D2A">
        <w:rPr>
          <w:sz w:val="24"/>
        </w:rPr>
        <w:t xml:space="preserve"> is justified. </w:t>
      </w:r>
    </w:p>
    <w:p w14:paraId="45B9A534" w14:textId="5370E7E4" w:rsidR="004F587A" w:rsidRDefault="00053D38" w:rsidP="004F587A">
      <w:pPr>
        <w:pStyle w:val="ListParagraph"/>
        <w:numPr>
          <w:ilvl w:val="0"/>
          <w:numId w:val="20"/>
        </w:numPr>
        <w:tabs>
          <w:tab w:val="left" w:pos="567"/>
        </w:tabs>
        <w:spacing w:after="240" w:line="360" w:lineRule="auto"/>
        <w:ind w:left="1701" w:right="116" w:hanging="567"/>
        <w:rPr>
          <w:sz w:val="24"/>
        </w:rPr>
      </w:pPr>
      <w:r>
        <w:rPr>
          <w:sz w:val="24"/>
        </w:rPr>
        <w:t>Whether the s</w:t>
      </w:r>
      <w:r w:rsidR="007420E0">
        <w:rPr>
          <w:sz w:val="24"/>
        </w:rPr>
        <w:t xml:space="preserve">ervice requirements have been satisfied. </w:t>
      </w:r>
    </w:p>
    <w:p w14:paraId="0B03ADE1" w14:textId="77777777" w:rsidR="004F587A" w:rsidRPr="00D9305A" w:rsidRDefault="004F587A" w:rsidP="0045778D">
      <w:pPr>
        <w:tabs>
          <w:tab w:val="left" w:pos="567"/>
        </w:tabs>
        <w:spacing w:after="240" w:line="360" w:lineRule="auto"/>
        <w:ind w:right="116"/>
        <w:rPr>
          <w:sz w:val="4"/>
          <w:szCs w:val="4"/>
        </w:rPr>
      </w:pPr>
    </w:p>
    <w:p w14:paraId="53BF0A17" w14:textId="494DD6F5" w:rsidR="00DC0459" w:rsidRPr="00DC0459" w:rsidRDefault="00DC0459" w:rsidP="00DC0459">
      <w:pPr>
        <w:pStyle w:val="ListParagraph"/>
        <w:numPr>
          <w:ilvl w:val="0"/>
          <w:numId w:val="15"/>
        </w:numPr>
        <w:tabs>
          <w:tab w:val="left" w:pos="567"/>
        </w:tabs>
        <w:spacing w:after="240" w:line="360" w:lineRule="auto"/>
        <w:ind w:left="567" w:right="116" w:hanging="567"/>
        <w:rPr>
          <w:sz w:val="24"/>
        </w:rPr>
      </w:pPr>
      <w:r>
        <w:rPr>
          <w:sz w:val="24"/>
        </w:rPr>
        <w:t>When considering each of these criteria, it is important to note that the</w:t>
      </w:r>
      <w:r w:rsidRPr="00DC0459">
        <w:rPr>
          <w:sz w:val="24"/>
        </w:rPr>
        <w:t xml:space="preserve"> </w:t>
      </w:r>
      <w:r>
        <w:rPr>
          <w:sz w:val="24"/>
        </w:rPr>
        <w:t>D</w:t>
      </w:r>
      <w:r w:rsidRPr="00DC0459">
        <w:rPr>
          <w:sz w:val="24"/>
        </w:rPr>
        <w:t>efendants have served no defence or evidence or otherwise engaged with the proceedings</w:t>
      </w:r>
      <w:r>
        <w:rPr>
          <w:sz w:val="24"/>
        </w:rPr>
        <w:t>. This</w:t>
      </w:r>
      <w:r w:rsidRPr="00DC0459">
        <w:rPr>
          <w:sz w:val="24"/>
        </w:rPr>
        <w:t xml:space="preserve"> is of considerable relevance </w:t>
      </w:r>
      <w:r w:rsidR="00E50235">
        <w:rPr>
          <w:sz w:val="24"/>
        </w:rPr>
        <w:t>as</w:t>
      </w:r>
      <w:r w:rsidRPr="00DC0459">
        <w:rPr>
          <w:sz w:val="24"/>
        </w:rPr>
        <w:t xml:space="preserve"> it indicates the absence of any arguable defence: </w:t>
      </w:r>
      <w:r w:rsidRPr="00E50235">
        <w:rPr>
          <w:i/>
          <w:iCs/>
          <w:sz w:val="24"/>
        </w:rPr>
        <w:t>National Highways</w:t>
      </w:r>
      <w:r w:rsidRPr="00DC0459">
        <w:rPr>
          <w:sz w:val="24"/>
        </w:rPr>
        <w:t>, §§40-41</w:t>
      </w:r>
      <w:r w:rsidR="006F4272">
        <w:rPr>
          <w:sz w:val="24"/>
        </w:rPr>
        <w:t xml:space="preserve"> </w:t>
      </w:r>
      <w:r w:rsidR="006F4272" w:rsidRPr="003A6F49">
        <w:rPr>
          <w:b/>
          <w:bCs/>
          <w:sz w:val="24"/>
          <w:szCs w:val="24"/>
        </w:rPr>
        <w:t>[AB/</w:t>
      </w:r>
      <w:r w:rsidR="006F4272">
        <w:rPr>
          <w:b/>
          <w:bCs/>
          <w:sz w:val="24"/>
          <w:szCs w:val="24"/>
        </w:rPr>
        <w:t>369</w:t>
      </w:r>
      <w:r w:rsidR="006F4272" w:rsidRPr="003A6F49">
        <w:rPr>
          <w:b/>
          <w:bCs/>
          <w:sz w:val="24"/>
          <w:szCs w:val="24"/>
        </w:rPr>
        <w:t>]</w:t>
      </w:r>
      <w:r w:rsidRPr="00DC0459">
        <w:rPr>
          <w:sz w:val="24"/>
        </w:rPr>
        <w:t>.</w:t>
      </w:r>
    </w:p>
    <w:p w14:paraId="009D327D" w14:textId="78043054" w:rsidR="0045778D" w:rsidRDefault="0045778D" w:rsidP="00054E77">
      <w:pPr>
        <w:pStyle w:val="ListParagraph"/>
        <w:numPr>
          <w:ilvl w:val="0"/>
          <w:numId w:val="21"/>
        </w:numPr>
        <w:tabs>
          <w:tab w:val="left" w:pos="567"/>
        </w:tabs>
        <w:spacing w:after="240" w:line="360" w:lineRule="auto"/>
        <w:ind w:left="1134" w:right="116" w:hanging="567"/>
        <w:rPr>
          <w:b/>
          <w:bCs/>
          <w:sz w:val="24"/>
        </w:rPr>
      </w:pPr>
      <w:r>
        <w:rPr>
          <w:b/>
          <w:bCs/>
          <w:sz w:val="24"/>
        </w:rPr>
        <w:t>Cause of action</w:t>
      </w:r>
    </w:p>
    <w:p w14:paraId="6496D0D8" w14:textId="16876E41" w:rsidR="0045778D" w:rsidRDefault="0096644C" w:rsidP="0045778D">
      <w:pPr>
        <w:pStyle w:val="ListParagraph"/>
        <w:numPr>
          <w:ilvl w:val="0"/>
          <w:numId w:val="15"/>
        </w:numPr>
        <w:tabs>
          <w:tab w:val="left" w:pos="567"/>
        </w:tabs>
        <w:spacing w:after="240" w:line="360" w:lineRule="auto"/>
        <w:ind w:left="567" w:right="116" w:hanging="567"/>
        <w:rPr>
          <w:sz w:val="24"/>
        </w:rPr>
      </w:pPr>
      <w:r>
        <w:rPr>
          <w:sz w:val="24"/>
        </w:rPr>
        <w:t xml:space="preserve">The </w:t>
      </w:r>
      <w:r w:rsidR="00AD6994">
        <w:rPr>
          <w:sz w:val="24"/>
        </w:rPr>
        <w:t>Claimants rely on trespass</w:t>
      </w:r>
      <w:r w:rsidR="009C42BD">
        <w:rPr>
          <w:sz w:val="24"/>
        </w:rPr>
        <w:t xml:space="preserve"> in relation to their own land. </w:t>
      </w:r>
      <w:r w:rsidR="00700F85">
        <w:rPr>
          <w:sz w:val="24"/>
        </w:rPr>
        <w:t xml:space="preserve">The Defendants entering and remaining on the Claimants’ land without their consent is a clear trespass. </w:t>
      </w:r>
    </w:p>
    <w:p w14:paraId="451CD211" w14:textId="5EB9300F" w:rsidR="009C42BD" w:rsidRPr="00A6617D" w:rsidRDefault="009C42BD" w:rsidP="00A6617D">
      <w:pPr>
        <w:pStyle w:val="ListParagraph"/>
        <w:numPr>
          <w:ilvl w:val="0"/>
          <w:numId w:val="15"/>
        </w:numPr>
        <w:tabs>
          <w:tab w:val="left" w:pos="567"/>
        </w:tabs>
        <w:spacing w:after="240" w:line="360" w:lineRule="auto"/>
        <w:ind w:left="567" w:right="116" w:hanging="567"/>
        <w:rPr>
          <w:sz w:val="24"/>
        </w:rPr>
      </w:pPr>
      <w:r>
        <w:rPr>
          <w:sz w:val="24"/>
        </w:rPr>
        <w:t>The Claimants also rely on private nuisance</w:t>
      </w:r>
      <w:r w:rsidR="00865812">
        <w:rPr>
          <w:sz w:val="24"/>
        </w:rPr>
        <w:t xml:space="preserve"> where that amounts to any continuous activity or state of affairs causing a substantial and unreasonable interference with a claimant’s </w:t>
      </w:r>
      <w:r w:rsidR="00865812">
        <w:rPr>
          <w:sz w:val="24"/>
        </w:rPr>
        <w:lastRenderedPageBreak/>
        <w:t xml:space="preserve">land or use </w:t>
      </w:r>
      <w:r w:rsidR="005E44CE">
        <w:rPr>
          <w:sz w:val="24"/>
        </w:rPr>
        <w:t xml:space="preserve">or enjoyment of land: </w:t>
      </w:r>
      <w:r w:rsidR="005E44CE">
        <w:rPr>
          <w:i/>
          <w:iCs/>
          <w:sz w:val="24"/>
        </w:rPr>
        <w:t xml:space="preserve">HS2 Ltd v Persons Unknown </w:t>
      </w:r>
      <w:r w:rsidR="00F741EB">
        <w:rPr>
          <w:sz w:val="24"/>
        </w:rPr>
        <w:t>[2022] EWHC 2360 (KB)</w:t>
      </w:r>
      <w:r w:rsidR="005E44CE">
        <w:rPr>
          <w:sz w:val="24"/>
        </w:rPr>
        <w:t xml:space="preserve">, </w:t>
      </w:r>
      <w:r w:rsidR="00F741EB">
        <w:rPr>
          <w:sz w:val="24"/>
        </w:rPr>
        <w:t>§§85-87 (Knowles J)</w:t>
      </w:r>
      <w:r w:rsidR="006F4272">
        <w:rPr>
          <w:sz w:val="24"/>
        </w:rPr>
        <w:t xml:space="preserve"> </w:t>
      </w:r>
      <w:r w:rsidR="006F4272" w:rsidRPr="003A6F49">
        <w:rPr>
          <w:b/>
          <w:bCs/>
          <w:sz w:val="24"/>
          <w:szCs w:val="24"/>
        </w:rPr>
        <w:t>[AB/</w:t>
      </w:r>
      <w:r w:rsidR="00812F88">
        <w:rPr>
          <w:b/>
          <w:bCs/>
          <w:sz w:val="24"/>
          <w:szCs w:val="24"/>
        </w:rPr>
        <w:t>300</w:t>
      </w:r>
      <w:r w:rsidR="006F4272" w:rsidRPr="003A6F49">
        <w:rPr>
          <w:b/>
          <w:bCs/>
          <w:sz w:val="24"/>
          <w:szCs w:val="24"/>
        </w:rPr>
        <w:t>]</w:t>
      </w:r>
      <w:r w:rsidR="00F741EB">
        <w:rPr>
          <w:sz w:val="24"/>
        </w:rPr>
        <w:t>.</w:t>
      </w:r>
      <w:r w:rsidR="00A6617D">
        <w:rPr>
          <w:sz w:val="24"/>
        </w:rPr>
        <w:t xml:space="preserve"> </w:t>
      </w:r>
      <w:r w:rsidR="009B2595" w:rsidRPr="00A6617D">
        <w:rPr>
          <w:sz w:val="24"/>
        </w:rPr>
        <w:t xml:space="preserve">The Defendants </w:t>
      </w:r>
      <w:r w:rsidR="00983690" w:rsidRPr="00A6617D">
        <w:rPr>
          <w:sz w:val="24"/>
        </w:rPr>
        <w:t>preventing the Claimants entering their own land</w:t>
      </w:r>
      <w:r w:rsidR="008F5A5A">
        <w:rPr>
          <w:sz w:val="24"/>
        </w:rPr>
        <w:t xml:space="preserve"> from the highway</w:t>
      </w:r>
      <w:r w:rsidR="00983690" w:rsidRPr="00A6617D">
        <w:rPr>
          <w:sz w:val="24"/>
        </w:rPr>
        <w:t xml:space="preserve"> or preventing them from using the Site 1 Access Route </w:t>
      </w:r>
      <w:r w:rsidR="00E929CD">
        <w:rPr>
          <w:sz w:val="24"/>
        </w:rPr>
        <w:t>or</w:t>
      </w:r>
      <w:r w:rsidR="00983690" w:rsidRPr="00A6617D">
        <w:rPr>
          <w:sz w:val="24"/>
        </w:rPr>
        <w:t xml:space="preserve"> the Site 2 Access Route</w:t>
      </w:r>
      <w:r w:rsidR="00A6617D">
        <w:rPr>
          <w:sz w:val="24"/>
        </w:rPr>
        <w:t xml:space="preserve"> amount to a private nuisance. </w:t>
      </w:r>
      <w:r w:rsidR="00CD6A2F" w:rsidRPr="00A6617D">
        <w:rPr>
          <w:sz w:val="24"/>
        </w:rPr>
        <w:t xml:space="preserve"> </w:t>
      </w:r>
      <w:r w:rsidR="00E94F99" w:rsidRPr="00A6617D">
        <w:rPr>
          <w:sz w:val="24"/>
        </w:rPr>
        <w:t xml:space="preserve"> </w:t>
      </w:r>
      <w:r w:rsidRPr="00A6617D">
        <w:rPr>
          <w:sz w:val="24"/>
        </w:rPr>
        <w:t xml:space="preserve"> </w:t>
      </w:r>
    </w:p>
    <w:p w14:paraId="1C3A621E" w14:textId="77777777" w:rsidR="0045778D" w:rsidRPr="00B44B3B" w:rsidRDefault="0045778D" w:rsidP="0045778D">
      <w:pPr>
        <w:pStyle w:val="ListParagraph"/>
        <w:tabs>
          <w:tab w:val="left" w:pos="567"/>
        </w:tabs>
        <w:spacing w:after="240" w:line="360" w:lineRule="auto"/>
        <w:ind w:left="1080" w:right="116" w:firstLine="0"/>
        <w:rPr>
          <w:b/>
          <w:bCs/>
          <w:sz w:val="6"/>
          <w:szCs w:val="6"/>
        </w:rPr>
      </w:pPr>
    </w:p>
    <w:p w14:paraId="06A0EEF2" w14:textId="6D5620EF" w:rsidR="0045778D" w:rsidRDefault="0045778D" w:rsidP="00054E77">
      <w:pPr>
        <w:pStyle w:val="ListParagraph"/>
        <w:numPr>
          <w:ilvl w:val="0"/>
          <w:numId w:val="21"/>
        </w:numPr>
        <w:tabs>
          <w:tab w:val="left" w:pos="567"/>
        </w:tabs>
        <w:spacing w:after="240" w:line="360" w:lineRule="auto"/>
        <w:ind w:left="1134" w:right="116" w:hanging="567"/>
        <w:rPr>
          <w:b/>
          <w:bCs/>
          <w:sz w:val="24"/>
        </w:rPr>
      </w:pPr>
      <w:r>
        <w:rPr>
          <w:b/>
          <w:bCs/>
          <w:i/>
          <w:iCs/>
          <w:sz w:val="24"/>
        </w:rPr>
        <w:t xml:space="preserve">Canada Goose </w:t>
      </w:r>
      <w:r>
        <w:rPr>
          <w:b/>
          <w:bCs/>
          <w:sz w:val="24"/>
        </w:rPr>
        <w:t>criteria</w:t>
      </w:r>
    </w:p>
    <w:p w14:paraId="4ABA921B" w14:textId="305D2E78" w:rsidR="004C7542" w:rsidRPr="002039D7" w:rsidRDefault="004C7542" w:rsidP="00CC4B44">
      <w:pPr>
        <w:pStyle w:val="ListParagraph"/>
        <w:numPr>
          <w:ilvl w:val="0"/>
          <w:numId w:val="15"/>
        </w:numPr>
        <w:spacing w:after="240" w:line="360" w:lineRule="auto"/>
        <w:ind w:left="567" w:hanging="567"/>
        <w:rPr>
          <w:sz w:val="24"/>
        </w:rPr>
      </w:pPr>
      <w:r w:rsidRPr="002039D7">
        <w:rPr>
          <w:sz w:val="24"/>
        </w:rPr>
        <w:t>Alth</w:t>
      </w:r>
      <w:r w:rsidR="002039D7" w:rsidRPr="002039D7">
        <w:rPr>
          <w:sz w:val="24"/>
        </w:rPr>
        <w:t xml:space="preserve">ough the </w:t>
      </w:r>
      <w:r w:rsidR="002039D7" w:rsidRPr="002039D7">
        <w:rPr>
          <w:i/>
          <w:iCs/>
          <w:sz w:val="24"/>
        </w:rPr>
        <w:t xml:space="preserve">Canada Goose </w:t>
      </w:r>
      <w:r w:rsidR="002039D7" w:rsidRPr="002039D7">
        <w:rPr>
          <w:sz w:val="24"/>
        </w:rPr>
        <w:t>criteria were formulated in the context of interim relief, there is no relevant jurisdictional difference between an interim and final injunction</w:t>
      </w:r>
      <w:r w:rsidR="005B3B58">
        <w:rPr>
          <w:sz w:val="24"/>
        </w:rPr>
        <w:t>, as set out above</w:t>
      </w:r>
      <w:r w:rsidR="002039D7" w:rsidRPr="002039D7">
        <w:rPr>
          <w:sz w:val="24"/>
        </w:rPr>
        <w:t xml:space="preserve">: </w:t>
      </w:r>
      <w:r w:rsidRPr="00694559">
        <w:rPr>
          <w:i/>
          <w:iCs/>
          <w:sz w:val="24"/>
        </w:rPr>
        <w:t xml:space="preserve">Barking &amp; Dagenham LBC v Persons Unknown </w:t>
      </w:r>
      <w:r w:rsidRPr="002039D7">
        <w:rPr>
          <w:sz w:val="24"/>
        </w:rPr>
        <w:t>[2023] QB 295</w:t>
      </w:r>
      <w:r w:rsidR="002039D7">
        <w:rPr>
          <w:sz w:val="24"/>
        </w:rPr>
        <w:t xml:space="preserve">, </w:t>
      </w:r>
      <w:r w:rsidR="00CC4B44">
        <w:rPr>
          <w:sz w:val="24"/>
        </w:rPr>
        <w:t>§93</w:t>
      </w:r>
      <w:r w:rsidR="00812F88">
        <w:rPr>
          <w:sz w:val="24"/>
        </w:rPr>
        <w:t xml:space="preserve"> </w:t>
      </w:r>
      <w:r w:rsidR="00812F88" w:rsidRPr="003A6F49">
        <w:rPr>
          <w:b/>
          <w:bCs/>
          <w:sz w:val="24"/>
          <w:szCs w:val="24"/>
        </w:rPr>
        <w:t>[AB/</w:t>
      </w:r>
      <w:r w:rsidR="00483998">
        <w:rPr>
          <w:b/>
          <w:bCs/>
          <w:sz w:val="24"/>
          <w:szCs w:val="24"/>
        </w:rPr>
        <w:t>245</w:t>
      </w:r>
      <w:r w:rsidR="00812F88" w:rsidRPr="003A6F49">
        <w:rPr>
          <w:b/>
          <w:bCs/>
          <w:sz w:val="24"/>
          <w:szCs w:val="24"/>
        </w:rPr>
        <w:t>]</w:t>
      </w:r>
      <w:r w:rsidR="00CC4B44">
        <w:rPr>
          <w:sz w:val="24"/>
        </w:rPr>
        <w:t>.</w:t>
      </w:r>
    </w:p>
    <w:p w14:paraId="6409A52B" w14:textId="6BE4FC93" w:rsidR="0045778D" w:rsidRDefault="008F5A5A" w:rsidP="00CC4B44">
      <w:pPr>
        <w:pStyle w:val="ListParagraph"/>
        <w:numPr>
          <w:ilvl w:val="0"/>
          <w:numId w:val="15"/>
        </w:numPr>
        <w:spacing w:after="240" w:line="360" w:lineRule="auto"/>
        <w:ind w:left="567" w:hanging="567"/>
        <w:rPr>
          <w:sz w:val="24"/>
        </w:rPr>
      </w:pPr>
      <w:r>
        <w:rPr>
          <w:sz w:val="24"/>
        </w:rPr>
        <w:t>Th</w:t>
      </w:r>
      <w:r w:rsidR="00D052C6">
        <w:rPr>
          <w:sz w:val="24"/>
        </w:rPr>
        <w:t>ose</w:t>
      </w:r>
      <w:r>
        <w:rPr>
          <w:sz w:val="24"/>
        </w:rPr>
        <w:t xml:space="preserve"> criteria contained at §82 of </w:t>
      </w:r>
      <w:r>
        <w:rPr>
          <w:i/>
          <w:iCs/>
          <w:sz w:val="24"/>
        </w:rPr>
        <w:t>Canada Goose</w:t>
      </w:r>
      <w:r>
        <w:rPr>
          <w:sz w:val="24"/>
        </w:rPr>
        <w:t xml:space="preserve"> </w:t>
      </w:r>
      <w:r w:rsidR="00E14587">
        <w:rPr>
          <w:sz w:val="24"/>
        </w:rPr>
        <w:t xml:space="preserve">that are relevant for final relief </w:t>
      </w:r>
      <w:r>
        <w:rPr>
          <w:sz w:val="24"/>
        </w:rPr>
        <w:t>are satisfied in the following ways:</w:t>
      </w:r>
    </w:p>
    <w:p w14:paraId="2D78E080" w14:textId="77777777" w:rsidR="008F5A5A" w:rsidRPr="00C93D50" w:rsidRDefault="008F5A5A" w:rsidP="008F5A5A">
      <w:pPr>
        <w:spacing w:line="360" w:lineRule="auto"/>
        <w:rPr>
          <w:sz w:val="6"/>
          <w:szCs w:val="6"/>
        </w:rPr>
      </w:pPr>
    </w:p>
    <w:p w14:paraId="23A21645" w14:textId="45349A6B" w:rsidR="008F5A5A" w:rsidRPr="004D506E" w:rsidRDefault="00CA5765" w:rsidP="001148E4">
      <w:pPr>
        <w:pStyle w:val="ListParagraph"/>
        <w:numPr>
          <w:ilvl w:val="1"/>
          <w:numId w:val="15"/>
        </w:numPr>
        <w:spacing w:after="240" w:line="360" w:lineRule="auto"/>
        <w:ind w:left="1134" w:hanging="567"/>
        <w:jc w:val="both"/>
        <w:rPr>
          <w:i/>
          <w:iCs/>
          <w:sz w:val="24"/>
        </w:rPr>
      </w:pPr>
      <w:r w:rsidRPr="004D506E">
        <w:rPr>
          <w:i/>
          <w:iCs/>
          <w:sz w:val="24"/>
        </w:rPr>
        <w:t>The “persons unknown” defendants must be people who have not been identified but are capable of being identified and served with the proceedings, if necessary by alternative service such as can reasonably be expected to bring the proceedings to their attention.</w:t>
      </w:r>
    </w:p>
    <w:p w14:paraId="484CA428" w14:textId="77777777" w:rsidR="00035B0E" w:rsidRPr="00284A47" w:rsidRDefault="00035B0E" w:rsidP="00035B0E">
      <w:pPr>
        <w:pStyle w:val="ListParagraph"/>
        <w:numPr>
          <w:ilvl w:val="0"/>
          <w:numId w:val="15"/>
        </w:numPr>
        <w:spacing w:after="240" w:line="360" w:lineRule="auto"/>
        <w:ind w:left="567" w:hanging="567"/>
        <w:rPr>
          <w:sz w:val="24"/>
        </w:rPr>
      </w:pPr>
      <w:r w:rsidRPr="00284A47">
        <w:rPr>
          <w:sz w:val="24"/>
        </w:rPr>
        <w:t>It is impossible to name the persons who are likely to commit the tort unless restrained.</w:t>
      </w:r>
    </w:p>
    <w:p w14:paraId="3F426F71" w14:textId="0E5EA249" w:rsidR="00035B0E" w:rsidRDefault="00035B0E" w:rsidP="00035B0E">
      <w:pPr>
        <w:pStyle w:val="ListParagraph"/>
        <w:numPr>
          <w:ilvl w:val="0"/>
          <w:numId w:val="15"/>
        </w:numPr>
        <w:spacing w:line="360" w:lineRule="auto"/>
        <w:ind w:left="567" w:hanging="567"/>
        <w:rPr>
          <w:sz w:val="24"/>
        </w:rPr>
      </w:pPr>
      <w:r w:rsidRPr="00B41275">
        <w:rPr>
          <w:sz w:val="24"/>
        </w:rPr>
        <w:t>As found by Peter Knox KC</w:t>
      </w:r>
      <w:r>
        <w:rPr>
          <w:sz w:val="24"/>
        </w:rPr>
        <w:t xml:space="preserve"> and Rajah J</w:t>
      </w:r>
      <w:r w:rsidRPr="00B41275">
        <w:rPr>
          <w:sz w:val="24"/>
        </w:rPr>
        <w:t xml:space="preserve">, it </w:t>
      </w:r>
      <w:r w:rsidR="00584D37">
        <w:rPr>
          <w:sz w:val="24"/>
        </w:rPr>
        <w:t>has been</w:t>
      </w:r>
      <w:r w:rsidRPr="00B41275">
        <w:rPr>
          <w:sz w:val="24"/>
        </w:rPr>
        <w:t xml:space="preserve"> possible to give effective notice of the </w:t>
      </w:r>
      <w:r w:rsidR="00584D37">
        <w:rPr>
          <w:sz w:val="24"/>
        </w:rPr>
        <w:t>proceedings to the Defendants</w:t>
      </w:r>
      <w:r w:rsidR="00033513">
        <w:rPr>
          <w:sz w:val="24"/>
        </w:rPr>
        <w:t xml:space="preserve"> by the alternative methods of service </w:t>
      </w:r>
      <w:r w:rsidR="00493BD9">
        <w:rPr>
          <w:sz w:val="24"/>
        </w:rPr>
        <w:t xml:space="preserve">contained </w:t>
      </w:r>
      <w:r w:rsidR="00644BD3">
        <w:rPr>
          <w:sz w:val="24"/>
        </w:rPr>
        <w:t xml:space="preserve">in the First Knox Order, §13 </w:t>
      </w:r>
      <w:r w:rsidR="00644BD3">
        <w:rPr>
          <w:b/>
          <w:bCs/>
          <w:sz w:val="24"/>
        </w:rPr>
        <w:t>[</w:t>
      </w:r>
      <w:r w:rsidR="00CC004B">
        <w:rPr>
          <w:b/>
          <w:bCs/>
          <w:sz w:val="24"/>
        </w:rPr>
        <w:t>HB/97</w:t>
      </w:r>
      <w:r w:rsidR="00644BD3">
        <w:rPr>
          <w:b/>
          <w:bCs/>
          <w:sz w:val="24"/>
        </w:rPr>
        <w:t>]</w:t>
      </w:r>
      <w:r w:rsidR="00584D37">
        <w:rPr>
          <w:sz w:val="24"/>
        </w:rPr>
        <w:t>.</w:t>
      </w:r>
    </w:p>
    <w:p w14:paraId="793FFC42" w14:textId="77777777" w:rsidR="00CB0A29" w:rsidRPr="00CB0A29" w:rsidRDefault="00CB0A29" w:rsidP="00CB0A29">
      <w:pPr>
        <w:pStyle w:val="ListParagraph"/>
        <w:spacing w:line="360" w:lineRule="auto"/>
        <w:ind w:left="567" w:firstLine="0"/>
        <w:rPr>
          <w:sz w:val="6"/>
          <w:szCs w:val="6"/>
        </w:rPr>
      </w:pPr>
    </w:p>
    <w:p w14:paraId="579A0197" w14:textId="77777777" w:rsidR="00584D37" w:rsidRPr="00584D37" w:rsidRDefault="00584D37" w:rsidP="00584D37">
      <w:pPr>
        <w:pStyle w:val="ListParagraph"/>
        <w:spacing w:after="240" w:line="360" w:lineRule="auto"/>
        <w:ind w:left="1134" w:firstLine="0"/>
        <w:rPr>
          <w:i/>
          <w:iCs/>
          <w:sz w:val="6"/>
          <w:szCs w:val="6"/>
        </w:rPr>
      </w:pPr>
    </w:p>
    <w:p w14:paraId="59207830" w14:textId="4561E4F9" w:rsidR="00E34316" w:rsidRPr="004D506E" w:rsidRDefault="0082325F" w:rsidP="001148E4">
      <w:pPr>
        <w:pStyle w:val="ListParagraph"/>
        <w:numPr>
          <w:ilvl w:val="0"/>
          <w:numId w:val="22"/>
        </w:numPr>
        <w:spacing w:after="240" w:line="360" w:lineRule="auto"/>
        <w:ind w:left="1134" w:hanging="567"/>
        <w:rPr>
          <w:i/>
          <w:iCs/>
          <w:sz w:val="24"/>
        </w:rPr>
      </w:pPr>
      <w:r w:rsidRPr="004D506E">
        <w:rPr>
          <w:i/>
          <w:iCs/>
          <w:sz w:val="24"/>
        </w:rPr>
        <w:t>The “persons unknown” must be defined in the originating process by reference to their conduct which is alleged to be unlawful.</w:t>
      </w:r>
    </w:p>
    <w:p w14:paraId="2176A61C" w14:textId="02F0C8E7" w:rsidR="001148E4" w:rsidRDefault="00657D52" w:rsidP="001148E4">
      <w:pPr>
        <w:pStyle w:val="ListParagraph"/>
        <w:numPr>
          <w:ilvl w:val="0"/>
          <w:numId w:val="15"/>
        </w:numPr>
        <w:spacing w:after="240" w:line="360" w:lineRule="auto"/>
        <w:ind w:left="567" w:hanging="567"/>
        <w:rPr>
          <w:sz w:val="24"/>
        </w:rPr>
      </w:pPr>
      <w:r>
        <w:rPr>
          <w:sz w:val="24"/>
        </w:rPr>
        <w:t xml:space="preserve">Persons Unknown are defined by reference to their unlawful trespass and </w:t>
      </w:r>
      <w:r w:rsidR="008A1636">
        <w:rPr>
          <w:sz w:val="24"/>
        </w:rPr>
        <w:t xml:space="preserve">nuisance. </w:t>
      </w:r>
    </w:p>
    <w:p w14:paraId="5AE29FA3" w14:textId="77777777" w:rsidR="00CB0A29" w:rsidRPr="00CB0A29" w:rsidRDefault="00CB0A29" w:rsidP="00CB0A29">
      <w:pPr>
        <w:pStyle w:val="ListParagraph"/>
        <w:spacing w:after="240" w:line="360" w:lineRule="auto"/>
        <w:ind w:left="567" w:firstLine="0"/>
        <w:rPr>
          <w:sz w:val="6"/>
          <w:szCs w:val="6"/>
        </w:rPr>
      </w:pPr>
    </w:p>
    <w:p w14:paraId="2896C0EF" w14:textId="77777777" w:rsidR="001148E4" w:rsidRPr="004D506E" w:rsidRDefault="00E34316" w:rsidP="001148E4">
      <w:pPr>
        <w:pStyle w:val="ListParagraph"/>
        <w:numPr>
          <w:ilvl w:val="0"/>
          <w:numId w:val="22"/>
        </w:numPr>
        <w:spacing w:after="240" w:line="360" w:lineRule="auto"/>
        <w:ind w:left="1134" w:hanging="567"/>
        <w:rPr>
          <w:i/>
          <w:iCs/>
          <w:sz w:val="24"/>
        </w:rPr>
      </w:pPr>
      <w:r w:rsidRPr="004D506E">
        <w:rPr>
          <w:i/>
          <w:iCs/>
          <w:sz w:val="24"/>
        </w:rPr>
        <w:t>Interim injunctive relief may only be granted if there is a sufficiently real and imminent risk of a tort being committed to justify quia timet relief.</w:t>
      </w:r>
    </w:p>
    <w:p w14:paraId="406DFE46" w14:textId="4A63B817" w:rsidR="00323B31" w:rsidRDefault="00EA77CD" w:rsidP="007256A9">
      <w:pPr>
        <w:pStyle w:val="ListParagraph"/>
        <w:numPr>
          <w:ilvl w:val="0"/>
          <w:numId w:val="15"/>
        </w:numPr>
        <w:tabs>
          <w:tab w:val="left" w:pos="567"/>
        </w:tabs>
        <w:spacing w:before="161" w:after="240" w:line="360" w:lineRule="auto"/>
        <w:ind w:left="567" w:right="118" w:hanging="567"/>
        <w:rPr>
          <w:sz w:val="24"/>
        </w:rPr>
      </w:pPr>
      <w:r>
        <w:rPr>
          <w:sz w:val="24"/>
        </w:rPr>
        <w:t xml:space="preserve">This requirement also applies to final injunctions: </w:t>
      </w:r>
      <w:r w:rsidR="00F614A9" w:rsidRPr="00F614A9">
        <w:rPr>
          <w:i/>
          <w:iCs/>
          <w:sz w:val="24"/>
        </w:rPr>
        <w:t>Transport for London v Lee</w:t>
      </w:r>
      <w:r w:rsidR="00F614A9" w:rsidRPr="00F614A9">
        <w:rPr>
          <w:sz w:val="24"/>
        </w:rPr>
        <w:t xml:space="preserve"> [2023] EWHC 1201 (KB)</w:t>
      </w:r>
      <w:r w:rsidR="00F614A9">
        <w:rPr>
          <w:sz w:val="24"/>
        </w:rPr>
        <w:t>, §20 (Eyre J)</w:t>
      </w:r>
      <w:r w:rsidR="00483998">
        <w:rPr>
          <w:sz w:val="24"/>
        </w:rPr>
        <w:t xml:space="preserve"> </w:t>
      </w:r>
      <w:r w:rsidR="00483998" w:rsidRPr="003A6F49">
        <w:rPr>
          <w:b/>
          <w:bCs/>
          <w:sz w:val="24"/>
          <w:szCs w:val="24"/>
        </w:rPr>
        <w:t>[AB/</w:t>
      </w:r>
      <w:r w:rsidR="00480632">
        <w:rPr>
          <w:b/>
          <w:bCs/>
          <w:sz w:val="24"/>
          <w:szCs w:val="24"/>
        </w:rPr>
        <w:t>393</w:t>
      </w:r>
      <w:r w:rsidR="00483998" w:rsidRPr="003A6F49">
        <w:rPr>
          <w:b/>
          <w:bCs/>
          <w:sz w:val="24"/>
          <w:szCs w:val="24"/>
        </w:rPr>
        <w:t>]</w:t>
      </w:r>
      <w:r w:rsidR="00F614A9">
        <w:rPr>
          <w:sz w:val="24"/>
        </w:rPr>
        <w:t>.</w:t>
      </w:r>
    </w:p>
    <w:p w14:paraId="5C79E2C7" w14:textId="7AE6CE0B" w:rsidR="00AA19AE" w:rsidRDefault="003D09EA" w:rsidP="007256A9">
      <w:pPr>
        <w:pStyle w:val="ListParagraph"/>
        <w:numPr>
          <w:ilvl w:val="0"/>
          <w:numId w:val="15"/>
        </w:numPr>
        <w:tabs>
          <w:tab w:val="left" w:pos="567"/>
        </w:tabs>
        <w:spacing w:before="161" w:after="240" w:line="360" w:lineRule="auto"/>
        <w:ind w:left="567" w:right="118" w:hanging="567"/>
        <w:rPr>
          <w:sz w:val="24"/>
        </w:rPr>
      </w:pPr>
      <w:r>
        <w:rPr>
          <w:sz w:val="24"/>
        </w:rPr>
        <w:lastRenderedPageBreak/>
        <w:t xml:space="preserve">In </w:t>
      </w:r>
      <w:r>
        <w:rPr>
          <w:i/>
          <w:iCs/>
          <w:sz w:val="24"/>
        </w:rPr>
        <w:t>Vastint Leeds BV v Persons Unknown</w:t>
      </w:r>
      <w:r>
        <w:rPr>
          <w:sz w:val="24"/>
        </w:rPr>
        <w:t xml:space="preserve"> [2018] EWHC 2456 (Ch)</w:t>
      </w:r>
      <w:r w:rsidR="00CA394E">
        <w:rPr>
          <w:sz w:val="24"/>
        </w:rPr>
        <w:t xml:space="preserve"> (“</w:t>
      </w:r>
      <w:r w:rsidR="00CA394E">
        <w:rPr>
          <w:b/>
          <w:bCs/>
          <w:i/>
          <w:iCs/>
          <w:sz w:val="24"/>
        </w:rPr>
        <w:t>Vastint</w:t>
      </w:r>
      <w:r w:rsidR="00CA394E">
        <w:rPr>
          <w:sz w:val="24"/>
        </w:rPr>
        <w:t>”)</w:t>
      </w:r>
      <w:r>
        <w:rPr>
          <w:sz w:val="24"/>
        </w:rPr>
        <w:t xml:space="preserve">, Marcus Smith J </w:t>
      </w:r>
      <w:r w:rsidR="00227E4F">
        <w:rPr>
          <w:sz w:val="24"/>
        </w:rPr>
        <w:t xml:space="preserve">set out the test as whether: (a) </w:t>
      </w:r>
      <w:r w:rsidR="00227E4F" w:rsidRPr="00227E4F">
        <w:rPr>
          <w:sz w:val="24"/>
        </w:rPr>
        <w:t xml:space="preserve">there </w:t>
      </w:r>
      <w:r w:rsidR="00DC3AD2">
        <w:rPr>
          <w:sz w:val="24"/>
        </w:rPr>
        <w:t xml:space="preserve">is </w:t>
      </w:r>
      <w:r w:rsidR="00227E4F" w:rsidRPr="00227E4F">
        <w:rPr>
          <w:sz w:val="24"/>
        </w:rPr>
        <w:t>a strong probability that, unless restrained by injunction, the defendant will act in breach of the claimant's rights</w:t>
      </w:r>
      <w:r w:rsidR="00227E4F">
        <w:rPr>
          <w:sz w:val="24"/>
        </w:rPr>
        <w:t>; and</w:t>
      </w:r>
      <w:r w:rsidR="00227E4F" w:rsidRPr="00227E4F">
        <w:rPr>
          <w:sz w:val="24"/>
        </w:rPr>
        <w:t xml:space="preserve"> (b) </w:t>
      </w:r>
      <w:r w:rsidR="00227E4F">
        <w:rPr>
          <w:sz w:val="24"/>
        </w:rPr>
        <w:t>i</w:t>
      </w:r>
      <w:r w:rsidR="00227E4F" w:rsidRPr="00227E4F">
        <w:rPr>
          <w:sz w:val="24"/>
        </w:rPr>
        <w:t>f the defendant did an act in contravention of the claimant's rights, would the harm resulting be so grave and irreparable that, notwithstanding the grant of an injunction to restrain further occurrence of the acts complained of, a remedy of damages would be inadequate</w:t>
      </w:r>
      <w:r w:rsidR="00CA7F0D">
        <w:rPr>
          <w:sz w:val="24"/>
        </w:rPr>
        <w:t>.</w:t>
      </w:r>
    </w:p>
    <w:p w14:paraId="4B528426" w14:textId="76880373" w:rsidR="009A3AE6" w:rsidRDefault="009A3AE6" w:rsidP="007256A9">
      <w:pPr>
        <w:pStyle w:val="ListParagraph"/>
        <w:numPr>
          <w:ilvl w:val="0"/>
          <w:numId w:val="15"/>
        </w:numPr>
        <w:tabs>
          <w:tab w:val="left" w:pos="567"/>
        </w:tabs>
        <w:spacing w:before="161" w:after="240" w:line="360" w:lineRule="auto"/>
        <w:ind w:left="567" w:right="118" w:hanging="567"/>
        <w:rPr>
          <w:sz w:val="24"/>
        </w:rPr>
      </w:pPr>
      <w:r>
        <w:rPr>
          <w:sz w:val="24"/>
        </w:rPr>
        <w:t xml:space="preserve">Linden J in </w:t>
      </w:r>
      <w:r>
        <w:rPr>
          <w:i/>
          <w:iCs/>
          <w:sz w:val="24"/>
        </w:rPr>
        <w:t xml:space="preserve">Esso </w:t>
      </w:r>
      <w:r w:rsidR="00902708">
        <w:rPr>
          <w:i/>
          <w:iCs/>
          <w:sz w:val="24"/>
        </w:rPr>
        <w:t>Petroleum</w:t>
      </w:r>
      <w:r>
        <w:rPr>
          <w:i/>
          <w:iCs/>
          <w:sz w:val="24"/>
        </w:rPr>
        <w:t xml:space="preserve"> </w:t>
      </w:r>
      <w:r w:rsidR="00CA394E">
        <w:rPr>
          <w:sz w:val="24"/>
        </w:rPr>
        <w:t xml:space="preserve">said the following about the </w:t>
      </w:r>
      <w:r w:rsidR="00CA394E">
        <w:rPr>
          <w:i/>
          <w:iCs/>
          <w:sz w:val="24"/>
        </w:rPr>
        <w:t xml:space="preserve">Vastint </w:t>
      </w:r>
      <w:r w:rsidR="00CA394E">
        <w:rPr>
          <w:sz w:val="24"/>
        </w:rPr>
        <w:t>formulation</w:t>
      </w:r>
      <w:r w:rsidR="00480632">
        <w:rPr>
          <w:sz w:val="24"/>
        </w:rPr>
        <w:t xml:space="preserve"> </w:t>
      </w:r>
      <w:r w:rsidR="00480632" w:rsidRPr="003A6F49">
        <w:rPr>
          <w:b/>
          <w:bCs/>
          <w:sz w:val="24"/>
          <w:szCs w:val="24"/>
        </w:rPr>
        <w:t>[AB/</w:t>
      </w:r>
      <w:r w:rsidR="00480632">
        <w:rPr>
          <w:b/>
          <w:bCs/>
          <w:sz w:val="24"/>
          <w:szCs w:val="24"/>
        </w:rPr>
        <w:t>462</w:t>
      </w:r>
      <w:r w:rsidR="00480632" w:rsidRPr="003A6F49">
        <w:rPr>
          <w:b/>
          <w:bCs/>
          <w:sz w:val="24"/>
          <w:szCs w:val="24"/>
        </w:rPr>
        <w:t>]</w:t>
      </w:r>
      <w:r w:rsidR="00CA394E">
        <w:rPr>
          <w:sz w:val="24"/>
        </w:rPr>
        <w:t>:</w:t>
      </w:r>
    </w:p>
    <w:p w14:paraId="72717064" w14:textId="77777777" w:rsidR="004B40E2" w:rsidRPr="004B40E2" w:rsidRDefault="00CA394E" w:rsidP="00E840FB">
      <w:pPr>
        <w:pStyle w:val="ListParagraph"/>
        <w:tabs>
          <w:tab w:val="left" w:pos="1134"/>
        </w:tabs>
        <w:spacing w:before="161" w:after="240"/>
        <w:ind w:left="1134" w:right="118" w:firstLine="0"/>
        <w:rPr>
          <w:sz w:val="24"/>
        </w:rPr>
      </w:pPr>
      <w:r>
        <w:rPr>
          <w:sz w:val="24"/>
        </w:rPr>
        <w:t>“</w:t>
      </w:r>
      <w:r w:rsidR="004B40E2" w:rsidRPr="004B40E2">
        <w:rPr>
          <w:sz w:val="24"/>
        </w:rPr>
        <w:t>63. With respect, I confess to some doubts about whether the two questions which he identified are part of a “test” or a “two stage” test. To my mind they are questions which the Court should consider in applying the test under section 37 Senior Courts Act 1981, namely what is “just and convenient” but they are not threshold tests. I also note that, even taking into account Vastint, the editors of Gee on Commercial Injunctions (7th Edition) say at 2-045:</w:t>
      </w:r>
    </w:p>
    <w:p w14:paraId="04F1A86A" w14:textId="77777777" w:rsidR="004B40E2" w:rsidRPr="004B40E2" w:rsidRDefault="004B40E2" w:rsidP="00E840FB">
      <w:pPr>
        <w:pStyle w:val="ListParagraph"/>
        <w:tabs>
          <w:tab w:val="left" w:pos="1701"/>
        </w:tabs>
        <w:spacing w:before="161" w:after="240"/>
        <w:ind w:left="1701" w:right="118" w:firstLine="0"/>
        <w:rPr>
          <w:sz w:val="24"/>
        </w:rPr>
      </w:pPr>
      <w:r w:rsidRPr="004B40E2">
        <w:rPr>
          <w:sz w:val="24"/>
        </w:rPr>
        <w:t>“There is no fixed or ‘absolute’ standard for measuring the degree of apprehension of a wrong which must be shown in order to justify quia timet relief. The graver the likely consequences, and the risk of wrongdoing the more the court will be reluctant to consider the application as ‘premature’. But there must be at least some real risk of an actionable wrong.”</w:t>
      </w:r>
    </w:p>
    <w:p w14:paraId="5A87A4FC" w14:textId="77777777" w:rsidR="00E840FB" w:rsidRPr="00E840FB" w:rsidRDefault="004B40E2" w:rsidP="00E840FB">
      <w:pPr>
        <w:pStyle w:val="ListParagraph"/>
        <w:tabs>
          <w:tab w:val="left" w:pos="1134"/>
        </w:tabs>
        <w:spacing w:before="161" w:after="240"/>
        <w:ind w:left="1134" w:right="118" w:firstLine="0"/>
        <w:rPr>
          <w:sz w:val="24"/>
        </w:rPr>
      </w:pPr>
      <w:r w:rsidRPr="004B40E2">
        <w:rPr>
          <w:sz w:val="24"/>
        </w:rPr>
        <w:t>64. Where the court is being asked to grant an injunction in circumstances where no tort has been committed or completed it will naturally need to be persuaded that the risks and consequences of not making such an order are sufficiently compelling to grant relief. Where, as in the present case, tortious conduct has taken place but the identity of the tortfeasors is unknown, and relief is sought on a final basis against future tortfeasors who</w:t>
      </w:r>
      <w:r w:rsidR="00E840FB">
        <w:rPr>
          <w:sz w:val="24"/>
        </w:rPr>
        <w:t xml:space="preserve"> </w:t>
      </w:r>
      <w:r w:rsidR="00E840FB" w:rsidRPr="00E840FB">
        <w:rPr>
          <w:sz w:val="24"/>
        </w:rPr>
        <w:t>are not a parties and are identified only by description, again the court will be cautious. But it would be surprising if, for example, a court which considered that there was a significant risk of further tortious conduct, but not a strong probability of such conduct, was compelled to refuse the injunction no matter how serious the damage if that conduct then took place.</w:t>
      </w:r>
    </w:p>
    <w:p w14:paraId="58B14B9F" w14:textId="30AE0056" w:rsidR="00CA394E" w:rsidRDefault="00E840FB" w:rsidP="00E840FB">
      <w:pPr>
        <w:pStyle w:val="ListParagraph"/>
        <w:tabs>
          <w:tab w:val="left" w:pos="1134"/>
        </w:tabs>
        <w:spacing w:before="161" w:after="240"/>
        <w:ind w:left="1134" w:right="118" w:firstLine="0"/>
        <w:rPr>
          <w:sz w:val="24"/>
        </w:rPr>
      </w:pPr>
      <w:r w:rsidRPr="00E840FB">
        <w:rPr>
          <w:sz w:val="24"/>
        </w:rPr>
        <w:t>65. However, Marcus Smith J analysed the authorities carefully, successive cases have adopted his test and the matter was hardly argued before me. I therefore do not propose to depart from what he said. Nor do I need to. Bennathan J was satisfied that the Vastint test was satisfied in this case, and so am I in the light of the evidence before me: I am also satisfied that, having regard to the risks in the event that relief is refused, it is just and convenient to grant relief.</w:t>
      </w:r>
      <w:r>
        <w:rPr>
          <w:sz w:val="24"/>
        </w:rPr>
        <w:t>”</w:t>
      </w:r>
    </w:p>
    <w:p w14:paraId="1BA1533A" w14:textId="77777777" w:rsidR="00E840FB" w:rsidRPr="001B1015" w:rsidRDefault="00E840FB" w:rsidP="004B40E2">
      <w:pPr>
        <w:pStyle w:val="ListParagraph"/>
        <w:tabs>
          <w:tab w:val="left" w:pos="567"/>
        </w:tabs>
        <w:spacing w:before="161" w:after="240" w:line="360" w:lineRule="auto"/>
        <w:ind w:left="567" w:right="118" w:firstLine="0"/>
        <w:rPr>
          <w:sz w:val="6"/>
          <w:szCs w:val="6"/>
        </w:rPr>
      </w:pPr>
    </w:p>
    <w:p w14:paraId="00F2A1B1" w14:textId="732779CE" w:rsidR="007101EB" w:rsidRDefault="007101EB" w:rsidP="007256A9">
      <w:pPr>
        <w:pStyle w:val="ListParagraph"/>
        <w:numPr>
          <w:ilvl w:val="0"/>
          <w:numId w:val="15"/>
        </w:numPr>
        <w:tabs>
          <w:tab w:val="left" w:pos="567"/>
        </w:tabs>
        <w:spacing w:before="161" w:after="240" w:line="360" w:lineRule="auto"/>
        <w:ind w:left="567" w:right="118" w:hanging="567"/>
        <w:rPr>
          <w:sz w:val="24"/>
        </w:rPr>
      </w:pPr>
      <w:r>
        <w:rPr>
          <w:sz w:val="24"/>
        </w:rPr>
        <w:t xml:space="preserve">Whichever position is adopted, the </w:t>
      </w:r>
      <w:r w:rsidR="00E503AD">
        <w:rPr>
          <w:sz w:val="24"/>
        </w:rPr>
        <w:t>test is satisfied in this case for the following reasons:</w:t>
      </w:r>
    </w:p>
    <w:p w14:paraId="297D0419" w14:textId="6B70FAE6" w:rsidR="00902708" w:rsidRDefault="00902708" w:rsidP="0092063A">
      <w:pPr>
        <w:pStyle w:val="ListParagraph"/>
        <w:numPr>
          <w:ilvl w:val="2"/>
          <w:numId w:val="15"/>
        </w:numPr>
        <w:tabs>
          <w:tab w:val="left" w:pos="567"/>
        </w:tabs>
        <w:spacing w:before="161" w:after="240" w:line="360" w:lineRule="auto"/>
        <w:ind w:left="1701" w:right="118" w:hanging="567"/>
        <w:rPr>
          <w:sz w:val="24"/>
        </w:rPr>
      </w:pPr>
      <w:r>
        <w:rPr>
          <w:sz w:val="24"/>
        </w:rPr>
        <w:t xml:space="preserve">The evidence, taken as a whole, points to there continuing to be a significant risk of further tortious conduct which justifies ongoing injunctive relief. </w:t>
      </w:r>
    </w:p>
    <w:p w14:paraId="31BD8159" w14:textId="724FECC7" w:rsidR="00902708" w:rsidRPr="00B20278" w:rsidRDefault="006C424D" w:rsidP="00B20278">
      <w:pPr>
        <w:pStyle w:val="ListParagraph"/>
        <w:numPr>
          <w:ilvl w:val="2"/>
          <w:numId w:val="15"/>
        </w:numPr>
        <w:tabs>
          <w:tab w:val="left" w:pos="567"/>
        </w:tabs>
        <w:spacing w:before="161" w:after="240" w:line="360" w:lineRule="auto"/>
        <w:ind w:left="1701" w:right="118" w:hanging="567"/>
        <w:rPr>
          <w:sz w:val="24"/>
        </w:rPr>
      </w:pPr>
      <w:r w:rsidRPr="00E82A61">
        <w:rPr>
          <w:b/>
          <w:bCs/>
          <w:sz w:val="24"/>
        </w:rPr>
        <w:t>§</w:t>
      </w:r>
      <w:r w:rsidR="00902708" w:rsidRPr="00E82A61">
        <w:rPr>
          <w:b/>
          <w:bCs/>
          <w:sz w:val="24"/>
        </w:rPr>
        <w:t>§</w:t>
      </w:r>
      <w:r w:rsidRPr="00E82A61">
        <w:rPr>
          <w:b/>
          <w:bCs/>
          <w:sz w:val="24"/>
        </w:rPr>
        <w:t>2</w:t>
      </w:r>
      <w:r w:rsidR="00E82A61" w:rsidRPr="00E82A61">
        <w:rPr>
          <w:b/>
          <w:bCs/>
          <w:sz w:val="24"/>
        </w:rPr>
        <w:t xml:space="preserve">3-24 </w:t>
      </w:r>
      <w:r w:rsidRPr="00E82A61">
        <w:rPr>
          <w:b/>
          <w:bCs/>
          <w:sz w:val="24"/>
        </w:rPr>
        <w:t>above</w:t>
      </w:r>
      <w:r>
        <w:rPr>
          <w:sz w:val="24"/>
        </w:rPr>
        <w:t xml:space="preserve"> </w:t>
      </w:r>
      <w:r w:rsidR="00902708">
        <w:rPr>
          <w:sz w:val="24"/>
        </w:rPr>
        <w:t>are</w:t>
      </w:r>
      <w:r>
        <w:rPr>
          <w:sz w:val="24"/>
        </w:rPr>
        <w:t xml:space="preserve"> repeated.</w:t>
      </w:r>
      <w:r w:rsidR="00E665CE">
        <w:rPr>
          <w:sz w:val="24"/>
        </w:rPr>
        <w:t xml:space="preserve"> </w:t>
      </w:r>
      <w:r w:rsidR="00E25984" w:rsidRPr="00E665CE">
        <w:rPr>
          <w:sz w:val="24"/>
        </w:rPr>
        <w:t xml:space="preserve">The reason why there has been no direct action </w:t>
      </w:r>
      <w:r w:rsidR="00E25984" w:rsidRPr="00E665CE">
        <w:rPr>
          <w:sz w:val="24"/>
        </w:rPr>
        <w:lastRenderedPageBreak/>
        <w:t>on the Sites since April 2022 is likely due to the deterrent effect of the injunctions: Armstrong 4, §12</w:t>
      </w:r>
      <w:r w:rsidR="00CC004B">
        <w:rPr>
          <w:sz w:val="24"/>
        </w:rPr>
        <w:t xml:space="preserve"> </w:t>
      </w:r>
      <w:r w:rsidR="00CC004B">
        <w:rPr>
          <w:b/>
          <w:sz w:val="24"/>
          <w:szCs w:val="24"/>
        </w:rPr>
        <w:t>[HB/</w:t>
      </w:r>
      <w:r w:rsidR="008D2F1B">
        <w:rPr>
          <w:b/>
          <w:sz w:val="24"/>
          <w:szCs w:val="24"/>
        </w:rPr>
        <w:t>222]</w:t>
      </w:r>
      <w:r w:rsidR="00E25984" w:rsidRPr="00E665CE">
        <w:rPr>
          <w:sz w:val="24"/>
        </w:rPr>
        <w:t>.</w:t>
      </w:r>
      <w:r w:rsidR="00902708">
        <w:rPr>
          <w:sz w:val="24"/>
        </w:rPr>
        <w:t xml:space="preserve"> As Linden J put it in </w:t>
      </w:r>
      <w:r w:rsidR="00902708">
        <w:rPr>
          <w:i/>
          <w:iCs/>
          <w:sz w:val="24"/>
        </w:rPr>
        <w:t xml:space="preserve">Esso Petroleum </w:t>
      </w:r>
      <w:r w:rsidR="00902708">
        <w:rPr>
          <w:sz w:val="24"/>
        </w:rPr>
        <w:t>at §67</w:t>
      </w:r>
      <w:r w:rsidR="003071FA">
        <w:rPr>
          <w:sz w:val="24"/>
        </w:rPr>
        <w:t xml:space="preserve"> </w:t>
      </w:r>
      <w:r w:rsidR="003071FA" w:rsidRPr="003A6F49">
        <w:rPr>
          <w:b/>
          <w:bCs/>
          <w:sz w:val="24"/>
          <w:szCs w:val="24"/>
        </w:rPr>
        <w:t>[AB/</w:t>
      </w:r>
      <w:r w:rsidR="003071FA">
        <w:rPr>
          <w:b/>
          <w:bCs/>
          <w:sz w:val="24"/>
          <w:szCs w:val="24"/>
        </w:rPr>
        <w:t>463</w:t>
      </w:r>
      <w:r w:rsidR="003071FA" w:rsidRPr="003A6F49">
        <w:rPr>
          <w:b/>
          <w:bCs/>
          <w:sz w:val="24"/>
          <w:szCs w:val="24"/>
        </w:rPr>
        <w:t>]</w:t>
      </w:r>
      <w:r w:rsidR="00902708">
        <w:rPr>
          <w:sz w:val="24"/>
        </w:rPr>
        <w:t>,</w:t>
      </w:r>
      <w:r w:rsidR="00902708">
        <w:rPr>
          <w:i/>
          <w:iCs/>
          <w:sz w:val="24"/>
        </w:rPr>
        <w:t xml:space="preserve"> “</w:t>
      </w:r>
      <w:r w:rsidR="00902708" w:rsidRPr="00B20278">
        <w:rPr>
          <w:i/>
          <w:iCs/>
          <w:sz w:val="23"/>
          <w:szCs w:val="23"/>
        </w:rPr>
        <w:t>it appears that the effect of the various injunctions which have been granted in this case and others has been to prevent or deter them from taking the steps prohibited by the orders of the court although, of course, not invariably so. If, therefore, an injunction is refused in the present case the overwhelming likelihood is that protests of the sort which were seen in 2021/2022 will resume</w:t>
      </w:r>
      <w:r w:rsidR="00902708">
        <w:rPr>
          <w:i/>
          <w:iCs/>
          <w:sz w:val="23"/>
          <w:szCs w:val="23"/>
        </w:rPr>
        <w:t>.”</w:t>
      </w:r>
      <w:r w:rsidR="00902708" w:rsidRPr="00B20278">
        <w:rPr>
          <w:sz w:val="23"/>
          <w:szCs w:val="23"/>
        </w:rPr>
        <w:t xml:space="preserve"> </w:t>
      </w:r>
    </w:p>
    <w:p w14:paraId="72975B5B" w14:textId="2A45FE99" w:rsidR="006C424D" w:rsidRDefault="00902708" w:rsidP="00E503AD">
      <w:pPr>
        <w:pStyle w:val="ListParagraph"/>
        <w:numPr>
          <w:ilvl w:val="2"/>
          <w:numId w:val="15"/>
        </w:numPr>
        <w:tabs>
          <w:tab w:val="left" w:pos="567"/>
        </w:tabs>
        <w:spacing w:before="161" w:after="240" w:line="360" w:lineRule="auto"/>
        <w:ind w:left="1701" w:right="118" w:hanging="567"/>
        <w:rPr>
          <w:sz w:val="24"/>
        </w:rPr>
      </w:pPr>
      <w:r>
        <w:rPr>
          <w:sz w:val="24"/>
        </w:rPr>
        <w:t>Further, a</w:t>
      </w:r>
      <w:r w:rsidR="000E0272">
        <w:rPr>
          <w:sz w:val="24"/>
        </w:rPr>
        <w:t>s Linden J stated in</w:t>
      </w:r>
      <w:r w:rsidR="00076CBD" w:rsidRPr="00076CBD">
        <w:rPr>
          <w:i/>
          <w:iCs/>
          <w:sz w:val="24"/>
        </w:rPr>
        <w:t xml:space="preserve"> </w:t>
      </w:r>
      <w:r w:rsidR="00076CBD">
        <w:rPr>
          <w:i/>
          <w:iCs/>
          <w:sz w:val="24"/>
        </w:rPr>
        <w:t xml:space="preserve">Esso </w:t>
      </w:r>
      <w:r>
        <w:rPr>
          <w:i/>
          <w:iCs/>
          <w:sz w:val="24"/>
        </w:rPr>
        <w:t>Petroleum</w:t>
      </w:r>
      <w:r w:rsidR="00076CBD">
        <w:rPr>
          <w:sz w:val="24"/>
        </w:rPr>
        <w:t xml:space="preserve">, it would have been very easy for Extinction Rebellion or Just Stop Oil to give assurances or evidence to the Court that there was no intention to </w:t>
      </w:r>
      <w:r w:rsidR="00C41E49">
        <w:rPr>
          <w:sz w:val="24"/>
        </w:rPr>
        <w:t>carry out direct action at the Sites but they did not do so: §67.</w:t>
      </w:r>
      <w:r w:rsidR="004F368D">
        <w:rPr>
          <w:sz w:val="24"/>
        </w:rPr>
        <w:t xml:space="preserve"> The untested evidence from the Claimants is that they intend to continue to challenge the energy sector vigorously, including with direct action. </w:t>
      </w:r>
      <w:r w:rsidR="005D20F3">
        <w:rPr>
          <w:sz w:val="24"/>
        </w:rPr>
        <w:t xml:space="preserve">Having adduced this credible evidence, </w:t>
      </w:r>
      <w:r w:rsidR="00A76AC0" w:rsidRPr="00A76AC0">
        <w:rPr>
          <w:sz w:val="24"/>
        </w:rPr>
        <w:t xml:space="preserve">the </w:t>
      </w:r>
      <w:r w:rsidR="005D20F3">
        <w:rPr>
          <w:sz w:val="24"/>
        </w:rPr>
        <w:t>Defendants have failed to satisfy their own</w:t>
      </w:r>
      <w:r w:rsidR="00A76AC0" w:rsidRPr="00A76AC0">
        <w:rPr>
          <w:sz w:val="24"/>
        </w:rPr>
        <w:t xml:space="preserve"> evidential burden to prove some real prospect of success or other reason for having a trial: </w:t>
      </w:r>
      <w:r w:rsidR="00A76AC0" w:rsidRPr="005D20F3">
        <w:rPr>
          <w:i/>
          <w:iCs/>
          <w:sz w:val="24"/>
        </w:rPr>
        <w:t>Sainsbury’s Supermarkets Ltd v Condek Holdings Ltd</w:t>
      </w:r>
      <w:r w:rsidR="00A76AC0" w:rsidRPr="00A76AC0">
        <w:rPr>
          <w:sz w:val="24"/>
        </w:rPr>
        <w:t xml:space="preserve"> [2014] EWHC 2016, §13 (Stuart-Smith J)</w:t>
      </w:r>
      <w:r w:rsidR="003071FA">
        <w:rPr>
          <w:sz w:val="24"/>
        </w:rPr>
        <w:t xml:space="preserve"> </w:t>
      </w:r>
      <w:r w:rsidR="003071FA" w:rsidRPr="003A6F49">
        <w:rPr>
          <w:b/>
          <w:bCs/>
          <w:sz w:val="24"/>
          <w:szCs w:val="24"/>
        </w:rPr>
        <w:t>[AB/</w:t>
      </w:r>
      <w:r w:rsidR="003071FA">
        <w:rPr>
          <w:b/>
          <w:bCs/>
          <w:sz w:val="24"/>
          <w:szCs w:val="24"/>
        </w:rPr>
        <w:t>21</w:t>
      </w:r>
      <w:r w:rsidR="003071FA" w:rsidRPr="003A6F49">
        <w:rPr>
          <w:b/>
          <w:bCs/>
          <w:sz w:val="24"/>
          <w:szCs w:val="24"/>
        </w:rPr>
        <w:t>]</w:t>
      </w:r>
      <w:r w:rsidR="00A76AC0" w:rsidRPr="00A76AC0">
        <w:rPr>
          <w:sz w:val="24"/>
        </w:rPr>
        <w:t>.</w:t>
      </w:r>
    </w:p>
    <w:p w14:paraId="0B18876F" w14:textId="6042A742" w:rsidR="00902708" w:rsidRPr="000709C3" w:rsidRDefault="00902708" w:rsidP="00902708">
      <w:pPr>
        <w:pStyle w:val="ListParagraph"/>
        <w:numPr>
          <w:ilvl w:val="2"/>
          <w:numId w:val="15"/>
        </w:numPr>
        <w:tabs>
          <w:tab w:val="left" w:pos="567"/>
        </w:tabs>
        <w:spacing w:before="161" w:after="240" w:line="360" w:lineRule="auto"/>
        <w:ind w:left="1701" w:right="118" w:hanging="567"/>
        <w:rPr>
          <w:sz w:val="24"/>
        </w:rPr>
      </w:pPr>
      <w:r>
        <w:rPr>
          <w:sz w:val="24"/>
        </w:rPr>
        <w:t xml:space="preserve">The harm that would ensue if </w:t>
      </w:r>
      <w:r w:rsidR="00F73DD4">
        <w:rPr>
          <w:sz w:val="24"/>
        </w:rPr>
        <w:t xml:space="preserve">an </w:t>
      </w:r>
      <w:r>
        <w:rPr>
          <w:sz w:val="24"/>
        </w:rPr>
        <w:t>injunction were refused is potentially very grave. The direct action poses significant health and safety risks, in particular in respect of personal injury to the Defendants and others at the Sites: see Armstrong 1, §§18-42</w:t>
      </w:r>
      <w:r w:rsidR="008D2F1B">
        <w:rPr>
          <w:sz w:val="24"/>
        </w:rPr>
        <w:t xml:space="preserve"> </w:t>
      </w:r>
      <w:r w:rsidR="008D2F1B">
        <w:rPr>
          <w:b/>
          <w:sz w:val="24"/>
          <w:szCs w:val="24"/>
        </w:rPr>
        <w:t>[HB/170]</w:t>
      </w:r>
      <w:r>
        <w:rPr>
          <w:sz w:val="24"/>
        </w:rPr>
        <w:t xml:space="preserve">; and, </w:t>
      </w:r>
      <w:r>
        <w:rPr>
          <w:i/>
          <w:iCs/>
          <w:sz w:val="24"/>
        </w:rPr>
        <w:t>Esso Petroleum</w:t>
      </w:r>
      <w:r>
        <w:rPr>
          <w:sz w:val="24"/>
        </w:rPr>
        <w:t>, §§48-53</w:t>
      </w:r>
      <w:r w:rsidR="003071FA">
        <w:rPr>
          <w:sz w:val="24"/>
        </w:rPr>
        <w:t xml:space="preserve"> </w:t>
      </w:r>
      <w:r w:rsidR="003071FA" w:rsidRPr="003A6F49">
        <w:rPr>
          <w:b/>
          <w:bCs/>
          <w:sz w:val="24"/>
          <w:szCs w:val="24"/>
        </w:rPr>
        <w:t>[AB/</w:t>
      </w:r>
      <w:r w:rsidR="003071FA">
        <w:rPr>
          <w:b/>
          <w:bCs/>
          <w:sz w:val="24"/>
          <w:szCs w:val="24"/>
        </w:rPr>
        <w:t>459</w:t>
      </w:r>
      <w:r w:rsidR="003071FA" w:rsidRPr="003A6F49">
        <w:rPr>
          <w:b/>
          <w:bCs/>
          <w:sz w:val="24"/>
          <w:szCs w:val="24"/>
        </w:rPr>
        <w:t>]</w:t>
      </w:r>
      <w:r>
        <w:rPr>
          <w:sz w:val="24"/>
        </w:rPr>
        <w:t xml:space="preserve">, for the sort of risks that exist at sites such as these. These can be very dangerous sites for those who have not received appropriate training. The likelihood of direct action occurring – considered below – must be viewed through the lens of this potentially grave harm and, having regard to those risks, it is just and convenient to grant relief.  </w:t>
      </w:r>
    </w:p>
    <w:p w14:paraId="55F59E3D" w14:textId="7099FC42" w:rsidR="00C32772" w:rsidRDefault="009B19E8" w:rsidP="00E503AD">
      <w:pPr>
        <w:pStyle w:val="ListParagraph"/>
        <w:numPr>
          <w:ilvl w:val="2"/>
          <w:numId w:val="15"/>
        </w:numPr>
        <w:tabs>
          <w:tab w:val="left" w:pos="567"/>
        </w:tabs>
        <w:spacing w:before="161" w:after="240" w:line="360" w:lineRule="auto"/>
        <w:ind w:left="1701" w:right="118" w:hanging="567"/>
        <w:rPr>
          <w:sz w:val="24"/>
        </w:rPr>
      </w:pPr>
      <w:r>
        <w:rPr>
          <w:sz w:val="24"/>
        </w:rPr>
        <w:t>T</w:t>
      </w:r>
      <w:r w:rsidRPr="009B19E8">
        <w:rPr>
          <w:sz w:val="24"/>
        </w:rPr>
        <w:t xml:space="preserve">here has been ample scope for those potentially affected by the </w:t>
      </w:r>
      <w:r w:rsidR="006E4660">
        <w:rPr>
          <w:sz w:val="24"/>
        </w:rPr>
        <w:t>O</w:t>
      </w:r>
      <w:r w:rsidRPr="009B19E8">
        <w:rPr>
          <w:sz w:val="24"/>
        </w:rPr>
        <w:t xml:space="preserve">rders made throughout these proceedings and by the </w:t>
      </w:r>
      <w:r w:rsidR="006E4660">
        <w:rPr>
          <w:sz w:val="24"/>
        </w:rPr>
        <w:t>O</w:t>
      </w:r>
      <w:r w:rsidRPr="009B19E8">
        <w:rPr>
          <w:sz w:val="24"/>
        </w:rPr>
        <w:t xml:space="preserve">rder sought in </w:t>
      </w:r>
      <w:r w:rsidR="006E4660">
        <w:rPr>
          <w:sz w:val="24"/>
        </w:rPr>
        <w:t>this</w:t>
      </w:r>
      <w:r w:rsidRPr="009B19E8">
        <w:rPr>
          <w:sz w:val="24"/>
        </w:rPr>
        <w:t xml:space="preserve"> application to raise challenges, as has occurred in other cases, even if they are not joined as named parties</w:t>
      </w:r>
      <w:r w:rsidR="006E4660">
        <w:rPr>
          <w:sz w:val="24"/>
        </w:rPr>
        <w:t>: see. e.g.</w:t>
      </w:r>
      <w:r w:rsidRPr="009B19E8">
        <w:rPr>
          <w:sz w:val="24"/>
        </w:rPr>
        <w:t xml:space="preserve"> CPR </w:t>
      </w:r>
      <w:r w:rsidR="006E4660">
        <w:rPr>
          <w:sz w:val="24"/>
        </w:rPr>
        <w:t>r.</w:t>
      </w:r>
      <w:r w:rsidRPr="009B19E8">
        <w:rPr>
          <w:sz w:val="24"/>
        </w:rPr>
        <w:t>40.9</w:t>
      </w:r>
      <w:r w:rsidR="006E4660">
        <w:rPr>
          <w:sz w:val="24"/>
        </w:rPr>
        <w:t xml:space="preserve">. </w:t>
      </w:r>
      <w:r w:rsidR="007769C7">
        <w:rPr>
          <w:sz w:val="24"/>
        </w:rPr>
        <w:t>Notwithstanding this, t</w:t>
      </w:r>
      <w:r w:rsidR="00C32772">
        <w:rPr>
          <w:sz w:val="24"/>
        </w:rPr>
        <w:t xml:space="preserve">he Defendants have failed to serve a defence or otherwise engage with the proceedings. </w:t>
      </w:r>
      <w:r w:rsidR="00AA355B">
        <w:rPr>
          <w:sz w:val="24"/>
        </w:rPr>
        <w:t xml:space="preserve">This </w:t>
      </w:r>
      <w:r w:rsidR="00AA355B" w:rsidRPr="00AA355B">
        <w:rPr>
          <w:sz w:val="24"/>
        </w:rPr>
        <w:t xml:space="preserve">is of considerable relevance when applying this test as it indicates the absence of any arguable defence: </w:t>
      </w:r>
      <w:r w:rsidR="00AA355B" w:rsidRPr="005C281C">
        <w:rPr>
          <w:i/>
          <w:iCs/>
          <w:sz w:val="24"/>
        </w:rPr>
        <w:t>National Highways</w:t>
      </w:r>
      <w:r w:rsidR="00AA355B" w:rsidRPr="00AA355B">
        <w:rPr>
          <w:sz w:val="24"/>
        </w:rPr>
        <w:t>, §§40-41</w:t>
      </w:r>
      <w:r w:rsidR="003071FA">
        <w:rPr>
          <w:sz w:val="24"/>
        </w:rPr>
        <w:t xml:space="preserve"> </w:t>
      </w:r>
      <w:r w:rsidR="003071FA" w:rsidRPr="003A6F49">
        <w:rPr>
          <w:b/>
          <w:bCs/>
          <w:sz w:val="24"/>
          <w:szCs w:val="24"/>
        </w:rPr>
        <w:t>[AB/</w:t>
      </w:r>
      <w:r w:rsidR="003071FA">
        <w:rPr>
          <w:b/>
          <w:bCs/>
          <w:sz w:val="24"/>
          <w:szCs w:val="24"/>
        </w:rPr>
        <w:t>369</w:t>
      </w:r>
      <w:r w:rsidR="003071FA" w:rsidRPr="003A6F49">
        <w:rPr>
          <w:b/>
          <w:bCs/>
          <w:sz w:val="24"/>
          <w:szCs w:val="24"/>
        </w:rPr>
        <w:t>]</w:t>
      </w:r>
      <w:r w:rsidR="00AA355B" w:rsidRPr="00AA355B">
        <w:rPr>
          <w:sz w:val="24"/>
        </w:rPr>
        <w:t>.</w:t>
      </w:r>
    </w:p>
    <w:p w14:paraId="73CEDA74" w14:textId="50598F66" w:rsidR="00B44B3B" w:rsidRDefault="00B44B3B" w:rsidP="000709C3">
      <w:pPr>
        <w:pStyle w:val="ListParagraph"/>
        <w:numPr>
          <w:ilvl w:val="2"/>
          <w:numId w:val="15"/>
        </w:numPr>
        <w:tabs>
          <w:tab w:val="left" w:pos="567"/>
        </w:tabs>
        <w:spacing w:before="161" w:after="240" w:line="360" w:lineRule="auto"/>
        <w:ind w:left="1701" w:right="118" w:hanging="567"/>
        <w:rPr>
          <w:sz w:val="24"/>
        </w:rPr>
      </w:pPr>
      <w:r w:rsidRPr="000709C3">
        <w:rPr>
          <w:sz w:val="24"/>
        </w:rPr>
        <w:lastRenderedPageBreak/>
        <w:t xml:space="preserve">It is also relevant that: (1) </w:t>
      </w:r>
      <w:r w:rsidR="009461B9">
        <w:rPr>
          <w:sz w:val="24"/>
        </w:rPr>
        <w:t xml:space="preserve">on each of the </w:t>
      </w:r>
      <w:r w:rsidRPr="000709C3">
        <w:rPr>
          <w:sz w:val="24"/>
        </w:rPr>
        <w:t xml:space="preserve">three </w:t>
      </w:r>
      <w:r w:rsidR="009461B9">
        <w:rPr>
          <w:sz w:val="24"/>
        </w:rPr>
        <w:t xml:space="preserve">occasions </w:t>
      </w:r>
      <w:r w:rsidR="00895467">
        <w:rPr>
          <w:sz w:val="24"/>
        </w:rPr>
        <w:t>this claim has come before the Court</w:t>
      </w:r>
      <w:r w:rsidRPr="000709C3">
        <w:rPr>
          <w:sz w:val="24"/>
        </w:rPr>
        <w:t xml:space="preserve"> in these proceedings</w:t>
      </w:r>
      <w:r w:rsidR="00895467">
        <w:rPr>
          <w:sz w:val="24"/>
        </w:rPr>
        <w:t>, the Judges</w:t>
      </w:r>
      <w:r w:rsidRPr="000709C3">
        <w:rPr>
          <w:sz w:val="24"/>
        </w:rPr>
        <w:t xml:space="preserve"> have found that the Claimants were likely to succeed at trial based on the evidence before them; and, (2) Judges in other </w:t>
      </w:r>
      <w:r w:rsidR="00565DC9">
        <w:rPr>
          <w:sz w:val="24"/>
        </w:rPr>
        <w:t xml:space="preserve">similar </w:t>
      </w:r>
      <w:r w:rsidR="00902708">
        <w:rPr>
          <w:sz w:val="24"/>
        </w:rPr>
        <w:t xml:space="preserve">recent </w:t>
      </w:r>
      <w:r w:rsidRPr="000709C3">
        <w:rPr>
          <w:sz w:val="24"/>
        </w:rPr>
        <w:t>cases</w:t>
      </w:r>
      <w:r w:rsidR="00565DC9">
        <w:rPr>
          <w:sz w:val="24"/>
        </w:rPr>
        <w:t xml:space="preserve"> brought by those in the energy sector have</w:t>
      </w:r>
      <w:r w:rsidR="00895467">
        <w:rPr>
          <w:sz w:val="24"/>
        </w:rPr>
        <w:t xml:space="preserve"> </w:t>
      </w:r>
      <w:r w:rsidR="00AA17A1">
        <w:rPr>
          <w:sz w:val="24"/>
        </w:rPr>
        <w:t>considered there to be a sufficiently real and imminent risk of direct action by environmental protestors</w:t>
      </w:r>
      <w:r w:rsidR="00902708">
        <w:rPr>
          <w:sz w:val="24"/>
        </w:rPr>
        <w:t xml:space="preserve"> to justify maintaining the injunctive relief</w:t>
      </w:r>
      <w:r w:rsidR="00AA17A1">
        <w:rPr>
          <w:sz w:val="24"/>
        </w:rPr>
        <w:t xml:space="preserve">. </w:t>
      </w:r>
    </w:p>
    <w:p w14:paraId="320430D7" w14:textId="77777777" w:rsidR="00B44B3B" w:rsidRPr="009965D7" w:rsidRDefault="00B44B3B" w:rsidP="00B44B3B">
      <w:pPr>
        <w:pStyle w:val="ListParagraph"/>
        <w:tabs>
          <w:tab w:val="left" w:pos="567"/>
        </w:tabs>
        <w:spacing w:after="240" w:line="360" w:lineRule="auto"/>
        <w:ind w:left="567" w:right="117" w:firstLine="0"/>
        <w:rPr>
          <w:sz w:val="6"/>
          <w:szCs w:val="6"/>
          <w:highlight w:val="yellow"/>
        </w:rPr>
      </w:pPr>
    </w:p>
    <w:p w14:paraId="4B8F422D" w14:textId="77777777" w:rsidR="001148E4" w:rsidRPr="004D506E" w:rsidRDefault="00E14587" w:rsidP="001148E4">
      <w:pPr>
        <w:pStyle w:val="ListParagraph"/>
        <w:numPr>
          <w:ilvl w:val="0"/>
          <w:numId w:val="22"/>
        </w:numPr>
        <w:spacing w:after="240" w:line="360" w:lineRule="auto"/>
        <w:ind w:left="1134" w:hanging="567"/>
        <w:rPr>
          <w:i/>
          <w:iCs/>
          <w:sz w:val="24"/>
        </w:rPr>
      </w:pPr>
      <w:r w:rsidRPr="004D506E">
        <w:rPr>
          <w:i/>
          <w:iCs/>
          <w:sz w:val="24"/>
        </w:rPr>
        <w:t>The defendants must be individually named if known and identified or, if not and described as “persons unknown”, must be capable of being identified and served with the order, if necessary by alternative service, the method of which must be set out in the order.</w:t>
      </w:r>
    </w:p>
    <w:p w14:paraId="2959A5A0" w14:textId="2AE242FB" w:rsidR="009F3D1D" w:rsidRPr="00006E81" w:rsidRDefault="00006E81" w:rsidP="009F3D1D">
      <w:pPr>
        <w:pStyle w:val="ListParagraph"/>
        <w:numPr>
          <w:ilvl w:val="0"/>
          <w:numId w:val="15"/>
        </w:numPr>
        <w:spacing w:after="240" w:line="360" w:lineRule="auto"/>
        <w:ind w:left="567" w:hanging="567"/>
        <w:rPr>
          <w:sz w:val="24"/>
        </w:rPr>
      </w:pPr>
      <w:r w:rsidRPr="00E82A61">
        <w:rPr>
          <w:b/>
          <w:bCs/>
          <w:sz w:val="24"/>
        </w:rPr>
        <w:t>§§3</w:t>
      </w:r>
      <w:r w:rsidR="00E82A61" w:rsidRPr="00E82A61">
        <w:rPr>
          <w:b/>
          <w:bCs/>
          <w:sz w:val="24"/>
        </w:rPr>
        <w:t>7</w:t>
      </w:r>
      <w:r w:rsidRPr="00E82A61">
        <w:rPr>
          <w:b/>
          <w:bCs/>
          <w:sz w:val="24"/>
        </w:rPr>
        <w:t>-3</w:t>
      </w:r>
      <w:r w:rsidR="00E82A61" w:rsidRPr="00E82A61">
        <w:rPr>
          <w:b/>
          <w:bCs/>
          <w:sz w:val="24"/>
        </w:rPr>
        <w:t>8</w:t>
      </w:r>
      <w:r w:rsidRPr="00E82A61">
        <w:rPr>
          <w:b/>
          <w:bCs/>
          <w:sz w:val="24"/>
        </w:rPr>
        <w:t xml:space="preserve"> above</w:t>
      </w:r>
      <w:r w:rsidRPr="00006E81">
        <w:rPr>
          <w:sz w:val="24"/>
        </w:rPr>
        <w:t xml:space="preserve"> are repeated. </w:t>
      </w:r>
      <w:r>
        <w:rPr>
          <w:sz w:val="24"/>
        </w:rPr>
        <w:t>The alternative methods of service are</w:t>
      </w:r>
      <w:r w:rsidR="009F3D1D" w:rsidRPr="00006E81">
        <w:rPr>
          <w:sz w:val="24"/>
        </w:rPr>
        <w:t xml:space="preserve"> set out in the draft Order</w:t>
      </w:r>
      <w:r w:rsidR="001A5B9C">
        <w:rPr>
          <w:sz w:val="24"/>
        </w:rPr>
        <w:t xml:space="preserve"> </w:t>
      </w:r>
      <w:r w:rsidR="001A5B9C">
        <w:rPr>
          <w:b/>
          <w:sz w:val="24"/>
          <w:szCs w:val="24"/>
        </w:rPr>
        <w:t>[HB/</w:t>
      </w:r>
      <w:r w:rsidR="00B64B02">
        <w:rPr>
          <w:b/>
          <w:sz w:val="24"/>
          <w:szCs w:val="24"/>
        </w:rPr>
        <w:t>46]</w:t>
      </w:r>
      <w:r w:rsidR="009F3D1D" w:rsidRPr="00006E81">
        <w:rPr>
          <w:sz w:val="24"/>
        </w:rPr>
        <w:t>.</w:t>
      </w:r>
    </w:p>
    <w:p w14:paraId="50E6DD3A" w14:textId="77777777" w:rsidR="001148E4" w:rsidRPr="004D506E" w:rsidRDefault="007271C7" w:rsidP="001148E4">
      <w:pPr>
        <w:pStyle w:val="ListParagraph"/>
        <w:numPr>
          <w:ilvl w:val="0"/>
          <w:numId w:val="22"/>
        </w:numPr>
        <w:spacing w:after="240" w:line="360" w:lineRule="auto"/>
        <w:ind w:left="1134" w:hanging="567"/>
        <w:rPr>
          <w:i/>
          <w:iCs/>
          <w:sz w:val="24"/>
        </w:rPr>
      </w:pPr>
      <w:r w:rsidRPr="004D506E">
        <w:rPr>
          <w:i/>
          <w:iCs/>
          <w:sz w:val="24"/>
        </w:rPr>
        <w:t>The prohibited acts must correspond to the threatened tort. They may include lawful conduct if, and only to the extent that, there is no other proportionate means of protecting the claimant's rights.</w:t>
      </w:r>
    </w:p>
    <w:p w14:paraId="05787157" w14:textId="36617CCF" w:rsidR="0087014C" w:rsidRDefault="0087014C" w:rsidP="0087014C">
      <w:pPr>
        <w:pStyle w:val="ListParagraph"/>
        <w:numPr>
          <w:ilvl w:val="0"/>
          <w:numId w:val="15"/>
        </w:numPr>
        <w:spacing w:after="240" w:line="360" w:lineRule="auto"/>
        <w:ind w:left="567" w:hanging="567"/>
        <w:rPr>
          <w:sz w:val="24"/>
        </w:rPr>
      </w:pPr>
      <w:r w:rsidRPr="0087014C">
        <w:rPr>
          <w:sz w:val="24"/>
        </w:rPr>
        <w:t xml:space="preserve">The terms of the injunction correspond with the threatened torts and are not so wide as to prohibit lawful conduct. There have already been acts of trespass and nuisance and these are the threatened activities. As with the </w:t>
      </w:r>
      <w:r w:rsidR="00B41275">
        <w:rPr>
          <w:sz w:val="24"/>
        </w:rPr>
        <w:t>previous orders in these proceedings</w:t>
      </w:r>
      <w:r w:rsidRPr="0087014C">
        <w:rPr>
          <w:sz w:val="24"/>
        </w:rPr>
        <w:t>, the draft Order does not seek to go beyond what is currently apprehended.</w:t>
      </w:r>
    </w:p>
    <w:p w14:paraId="0CB7D5A1" w14:textId="77777777" w:rsidR="001453FD" w:rsidRPr="001453FD" w:rsidRDefault="001453FD" w:rsidP="001453FD">
      <w:pPr>
        <w:pStyle w:val="ListParagraph"/>
        <w:spacing w:after="240" w:line="360" w:lineRule="auto"/>
        <w:ind w:left="567" w:firstLine="0"/>
        <w:rPr>
          <w:sz w:val="6"/>
          <w:szCs w:val="6"/>
        </w:rPr>
      </w:pPr>
    </w:p>
    <w:p w14:paraId="4665CD5E" w14:textId="77777777" w:rsidR="001148E4" w:rsidRPr="004D506E" w:rsidRDefault="00901019" w:rsidP="001148E4">
      <w:pPr>
        <w:pStyle w:val="ListParagraph"/>
        <w:numPr>
          <w:ilvl w:val="0"/>
          <w:numId w:val="22"/>
        </w:numPr>
        <w:spacing w:after="240" w:line="360" w:lineRule="auto"/>
        <w:ind w:left="1134" w:hanging="567"/>
        <w:rPr>
          <w:i/>
          <w:iCs/>
          <w:sz w:val="24"/>
        </w:rPr>
      </w:pPr>
      <w:r w:rsidRPr="004D506E">
        <w:rPr>
          <w:i/>
          <w:iCs/>
          <w:sz w:val="24"/>
        </w:rPr>
        <w:t>The terms of the injunction must be sufficiently clear and precise as to enable persons potentially affected to know what they must not do.</w:t>
      </w:r>
    </w:p>
    <w:p w14:paraId="2BADDDFB" w14:textId="4BBF3EDF" w:rsidR="001148E4" w:rsidRDefault="0087014C" w:rsidP="0087014C">
      <w:pPr>
        <w:pStyle w:val="ListParagraph"/>
        <w:numPr>
          <w:ilvl w:val="0"/>
          <w:numId w:val="15"/>
        </w:numPr>
        <w:spacing w:line="360" w:lineRule="auto"/>
        <w:ind w:left="567" w:hanging="567"/>
        <w:rPr>
          <w:sz w:val="24"/>
        </w:rPr>
      </w:pPr>
      <w:r w:rsidRPr="0087014C">
        <w:rPr>
          <w:sz w:val="24"/>
        </w:rPr>
        <w:t xml:space="preserve">The terms of the injunction are sufficiently clear and precise as to enable persons potentially affected to know what they must not do. </w:t>
      </w:r>
      <w:r>
        <w:rPr>
          <w:sz w:val="24"/>
        </w:rPr>
        <w:t>The</w:t>
      </w:r>
      <w:r w:rsidRPr="0087014C">
        <w:rPr>
          <w:sz w:val="24"/>
        </w:rPr>
        <w:t xml:space="preserve"> draft Order is specific and comprehensible in identifying the forbidden activities.</w:t>
      </w:r>
    </w:p>
    <w:p w14:paraId="07CEBB0D" w14:textId="77777777" w:rsidR="0087014C" w:rsidRDefault="0087014C" w:rsidP="0087014C">
      <w:pPr>
        <w:pStyle w:val="ListParagraph"/>
        <w:ind w:left="567" w:firstLine="0"/>
        <w:rPr>
          <w:sz w:val="24"/>
        </w:rPr>
      </w:pPr>
    </w:p>
    <w:p w14:paraId="0E5C1AD4" w14:textId="77777777" w:rsidR="001453FD" w:rsidRPr="00054E77" w:rsidRDefault="001453FD" w:rsidP="0087014C">
      <w:pPr>
        <w:pStyle w:val="ListParagraph"/>
        <w:ind w:left="567" w:firstLine="0"/>
        <w:rPr>
          <w:sz w:val="6"/>
          <w:szCs w:val="6"/>
        </w:rPr>
      </w:pPr>
    </w:p>
    <w:p w14:paraId="2FA00F0F" w14:textId="71C24F36" w:rsidR="00901019" w:rsidRPr="004D506E" w:rsidRDefault="00901019" w:rsidP="001148E4">
      <w:pPr>
        <w:pStyle w:val="ListParagraph"/>
        <w:numPr>
          <w:ilvl w:val="0"/>
          <w:numId w:val="22"/>
        </w:numPr>
        <w:spacing w:after="240" w:line="360" w:lineRule="auto"/>
        <w:ind w:left="1134" w:hanging="567"/>
        <w:rPr>
          <w:i/>
          <w:iCs/>
          <w:sz w:val="24"/>
        </w:rPr>
      </w:pPr>
      <w:r w:rsidRPr="004D506E">
        <w:rPr>
          <w:i/>
          <w:iCs/>
          <w:sz w:val="24"/>
        </w:rPr>
        <w:t>The interim injunction should have clear geographical and temporal limits.</w:t>
      </w:r>
    </w:p>
    <w:p w14:paraId="54DB43C3" w14:textId="41997963" w:rsidR="00A9647C" w:rsidRDefault="001B03B5" w:rsidP="00A9647C">
      <w:pPr>
        <w:pStyle w:val="ListParagraph"/>
        <w:numPr>
          <w:ilvl w:val="0"/>
          <w:numId w:val="15"/>
        </w:numPr>
        <w:spacing w:after="240" w:line="360" w:lineRule="auto"/>
        <w:ind w:left="567" w:hanging="567"/>
        <w:rPr>
          <w:sz w:val="24"/>
        </w:rPr>
      </w:pPr>
      <w:r>
        <w:rPr>
          <w:sz w:val="24"/>
        </w:rPr>
        <w:t xml:space="preserve">This requirement also applies to final injunctions: </w:t>
      </w:r>
      <w:r w:rsidR="00A1161E">
        <w:rPr>
          <w:i/>
          <w:iCs/>
          <w:sz w:val="24"/>
        </w:rPr>
        <w:t xml:space="preserve">Esso </w:t>
      </w:r>
      <w:r w:rsidR="00902708">
        <w:rPr>
          <w:i/>
          <w:iCs/>
          <w:sz w:val="24"/>
        </w:rPr>
        <w:t>Petroleum</w:t>
      </w:r>
      <w:r w:rsidR="00A1161E">
        <w:rPr>
          <w:sz w:val="24"/>
        </w:rPr>
        <w:t>, §71(f)</w:t>
      </w:r>
      <w:r w:rsidR="003071FA">
        <w:rPr>
          <w:sz w:val="24"/>
        </w:rPr>
        <w:t xml:space="preserve"> </w:t>
      </w:r>
      <w:r w:rsidR="003071FA" w:rsidRPr="003A6F49">
        <w:rPr>
          <w:b/>
          <w:bCs/>
          <w:sz w:val="24"/>
          <w:szCs w:val="24"/>
        </w:rPr>
        <w:t>[AB/</w:t>
      </w:r>
      <w:r w:rsidR="006663F9">
        <w:rPr>
          <w:b/>
          <w:bCs/>
          <w:sz w:val="24"/>
          <w:szCs w:val="24"/>
        </w:rPr>
        <w:t>464</w:t>
      </w:r>
      <w:r w:rsidR="003071FA" w:rsidRPr="003A6F49">
        <w:rPr>
          <w:b/>
          <w:bCs/>
          <w:sz w:val="24"/>
          <w:szCs w:val="24"/>
        </w:rPr>
        <w:t>]</w:t>
      </w:r>
      <w:r w:rsidR="00A1161E">
        <w:rPr>
          <w:sz w:val="24"/>
        </w:rPr>
        <w:t>.</w:t>
      </w:r>
    </w:p>
    <w:p w14:paraId="53A486BA" w14:textId="47FC12A3" w:rsidR="00A9647C" w:rsidRDefault="00A9647C" w:rsidP="00A9647C">
      <w:pPr>
        <w:pStyle w:val="ListParagraph"/>
        <w:numPr>
          <w:ilvl w:val="0"/>
          <w:numId w:val="15"/>
        </w:numPr>
        <w:spacing w:after="240" w:line="360" w:lineRule="auto"/>
        <w:ind w:left="567" w:hanging="567"/>
        <w:rPr>
          <w:sz w:val="24"/>
        </w:rPr>
      </w:pPr>
      <w:r w:rsidRPr="00A9647C">
        <w:rPr>
          <w:sz w:val="24"/>
        </w:rPr>
        <w:lastRenderedPageBreak/>
        <w:t xml:space="preserve">The injunction has clear geographical and temporal limits. </w:t>
      </w:r>
      <w:r>
        <w:rPr>
          <w:sz w:val="24"/>
        </w:rPr>
        <w:t>T</w:t>
      </w:r>
      <w:r w:rsidRPr="00A9647C">
        <w:rPr>
          <w:sz w:val="24"/>
        </w:rPr>
        <w:t xml:space="preserve">he plans and the descriptions of the </w:t>
      </w:r>
      <w:r>
        <w:rPr>
          <w:sz w:val="24"/>
        </w:rPr>
        <w:t>Sites</w:t>
      </w:r>
      <w:r w:rsidRPr="00A9647C">
        <w:rPr>
          <w:sz w:val="24"/>
        </w:rPr>
        <w:t xml:space="preserve"> </w:t>
      </w:r>
      <w:r w:rsidR="00E312BB">
        <w:rPr>
          <w:sz w:val="24"/>
        </w:rPr>
        <w:t xml:space="preserve">and Site Access Routes </w:t>
      </w:r>
      <w:r w:rsidRPr="00A9647C">
        <w:rPr>
          <w:sz w:val="24"/>
        </w:rPr>
        <w:t xml:space="preserve">are sufficiently clear. </w:t>
      </w:r>
    </w:p>
    <w:p w14:paraId="5D15C023" w14:textId="4E0F7280" w:rsidR="00D25080" w:rsidRDefault="00A9647C" w:rsidP="00A9647C">
      <w:pPr>
        <w:pStyle w:val="ListParagraph"/>
        <w:numPr>
          <w:ilvl w:val="0"/>
          <w:numId w:val="15"/>
        </w:numPr>
        <w:spacing w:after="240" w:line="360" w:lineRule="auto"/>
        <w:ind w:left="567" w:hanging="567"/>
        <w:rPr>
          <w:sz w:val="24"/>
        </w:rPr>
      </w:pPr>
      <w:r w:rsidRPr="00A9647C">
        <w:rPr>
          <w:sz w:val="24"/>
        </w:rPr>
        <w:t xml:space="preserve">In relation to the temporal limit, the Claimants propose </w:t>
      </w:r>
      <w:r w:rsidR="000F77C7">
        <w:rPr>
          <w:sz w:val="24"/>
        </w:rPr>
        <w:t xml:space="preserve">that </w:t>
      </w:r>
      <w:r w:rsidRPr="00A9647C">
        <w:rPr>
          <w:sz w:val="24"/>
        </w:rPr>
        <w:t xml:space="preserve">the </w:t>
      </w:r>
      <w:r>
        <w:rPr>
          <w:sz w:val="24"/>
        </w:rPr>
        <w:t>final</w:t>
      </w:r>
      <w:r w:rsidRPr="00A9647C">
        <w:rPr>
          <w:sz w:val="24"/>
        </w:rPr>
        <w:t xml:space="preserve"> injunction </w:t>
      </w:r>
      <w:r w:rsidR="00C0248B">
        <w:rPr>
          <w:sz w:val="24"/>
        </w:rPr>
        <w:t>last</w:t>
      </w:r>
      <w:r w:rsidR="000F77C7">
        <w:rPr>
          <w:sz w:val="24"/>
        </w:rPr>
        <w:t>s</w:t>
      </w:r>
      <w:r w:rsidR="00C0248B">
        <w:rPr>
          <w:sz w:val="24"/>
        </w:rPr>
        <w:t xml:space="preserve"> for 5 years with provision for an annual review. This is the same approach that has been adopted </w:t>
      </w:r>
      <w:r w:rsidR="00BF604D">
        <w:rPr>
          <w:sz w:val="24"/>
        </w:rPr>
        <w:t xml:space="preserve">recently </w:t>
      </w:r>
      <w:r w:rsidR="00C0248B">
        <w:rPr>
          <w:sz w:val="24"/>
        </w:rPr>
        <w:t>in</w:t>
      </w:r>
      <w:r w:rsidRPr="00A9647C">
        <w:rPr>
          <w:sz w:val="24"/>
        </w:rPr>
        <w:t xml:space="preserve"> </w:t>
      </w:r>
      <w:r w:rsidR="00C0248B">
        <w:rPr>
          <w:i/>
          <w:iCs/>
          <w:sz w:val="24"/>
        </w:rPr>
        <w:t xml:space="preserve">Esso </w:t>
      </w:r>
      <w:r w:rsidR="00902708">
        <w:rPr>
          <w:i/>
          <w:iCs/>
          <w:sz w:val="24"/>
        </w:rPr>
        <w:t>Petroleum</w:t>
      </w:r>
      <w:r w:rsidR="00C0248B">
        <w:rPr>
          <w:i/>
          <w:iCs/>
          <w:sz w:val="24"/>
        </w:rPr>
        <w:t xml:space="preserve"> </w:t>
      </w:r>
      <w:r w:rsidR="00BF604D">
        <w:rPr>
          <w:sz w:val="24"/>
        </w:rPr>
        <w:t>(</w:t>
      </w:r>
      <w:r w:rsidR="00D25080">
        <w:rPr>
          <w:sz w:val="24"/>
        </w:rPr>
        <w:t>18 July 2023)</w:t>
      </w:r>
      <w:r w:rsidR="00C0248B">
        <w:rPr>
          <w:sz w:val="24"/>
        </w:rPr>
        <w:t>, §71(f)</w:t>
      </w:r>
      <w:r w:rsidR="006663F9">
        <w:rPr>
          <w:sz w:val="24"/>
        </w:rPr>
        <w:t xml:space="preserve"> </w:t>
      </w:r>
      <w:r w:rsidR="006663F9" w:rsidRPr="003A6F49">
        <w:rPr>
          <w:b/>
          <w:bCs/>
          <w:sz w:val="24"/>
          <w:szCs w:val="24"/>
        </w:rPr>
        <w:t>[AB/</w:t>
      </w:r>
      <w:r w:rsidR="006663F9">
        <w:rPr>
          <w:b/>
          <w:bCs/>
          <w:sz w:val="24"/>
          <w:szCs w:val="24"/>
        </w:rPr>
        <w:t>464</w:t>
      </w:r>
      <w:r w:rsidR="006663F9" w:rsidRPr="003A6F49">
        <w:rPr>
          <w:b/>
          <w:bCs/>
          <w:sz w:val="24"/>
          <w:szCs w:val="24"/>
        </w:rPr>
        <w:t>]</w:t>
      </w:r>
      <w:r w:rsidR="00C0248B">
        <w:rPr>
          <w:sz w:val="24"/>
        </w:rPr>
        <w:t xml:space="preserve">; </w:t>
      </w:r>
      <w:r w:rsidR="00C0248B" w:rsidRPr="00E259DF">
        <w:rPr>
          <w:i/>
          <w:iCs/>
          <w:sz w:val="24"/>
        </w:rPr>
        <w:t>TfL v Persons Unknown</w:t>
      </w:r>
      <w:r w:rsidR="00C0248B" w:rsidRPr="00E259DF">
        <w:rPr>
          <w:sz w:val="24"/>
        </w:rPr>
        <w:t xml:space="preserve"> [2023] EWHC 1038 (KB)</w:t>
      </w:r>
      <w:r w:rsidR="00D25080">
        <w:rPr>
          <w:sz w:val="24"/>
        </w:rPr>
        <w:t xml:space="preserve"> (3 May 2023)</w:t>
      </w:r>
      <w:r w:rsidR="00C0248B" w:rsidRPr="00E259DF">
        <w:rPr>
          <w:sz w:val="24"/>
        </w:rPr>
        <w:t xml:space="preserve">, </w:t>
      </w:r>
      <w:r w:rsidR="00C0248B">
        <w:rPr>
          <w:sz w:val="24"/>
        </w:rPr>
        <w:t>§</w:t>
      </w:r>
      <w:r w:rsidR="00C0248B" w:rsidRPr="00E259DF">
        <w:rPr>
          <w:sz w:val="24"/>
        </w:rPr>
        <w:t>52</w:t>
      </w:r>
      <w:r w:rsidR="006663F9">
        <w:rPr>
          <w:sz w:val="24"/>
        </w:rPr>
        <w:t xml:space="preserve"> </w:t>
      </w:r>
      <w:r w:rsidR="006663F9" w:rsidRPr="003A6F49">
        <w:rPr>
          <w:b/>
          <w:bCs/>
          <w:sz w:val="24"/>
          <w:szCs w:val="24"/>
        </w:rPr>
        <w:t>[AB/</w:t>
      </w:r>
      <w:r w:rsidR="006663F9">
        <w:rPr>
          <w:b/>
          <w:bCs/>
          <w:sz w:val="24"/>
          <w:szCs w:val="24"/>
        </w:rPr>
        <w:t>384</w:t>
      </w:r>
      <w:r w:rsidR="006663F9" w:rsidRPr="003A6F49">
        <w:rPr>
          <w:b/>
          <w:bCs/>
          <w:sz w:val="24"/>
          <w:szCs w:val="24"/>
        </w:rPr>
        <w:t>]</w:t>
      </w:r>
      <w:r w:rsidR="00C0248B">
        <w:rPr>
          <w:sz w:val="24"/>
        </w:rPr>
        <w:t>; and,</w:t>
      </w:r>
      <w:r w:rsidR="00C0248B" w:rsidRPr="00E259DF">
        <w:rPr>
          <w:sz w:val="24"/>
        </w:rPr>
        <w:t xml:space="preserve"> </w:t>
      </w:r>
      <w:r w:rsidR="00C0248B">
        <w:rPr>
          <w:sz w:val="24"/>
        </w:rPr>
        <w:t>TfL</w:t>
      </w:r>
      <w:r w:rsidR="00C0248B" w:rsidRPr="00E259DF">
        <w:rPr>
          <w:i/>
          <w:iCs/>
          <w:sz w:val="24"/>
        </w:rPr>
        <w:t xml:space="preserve"> v Lee</w:t>
      </w:r>
      <w:r w:rsidR="00C0248B" w:rsidRPr="00E259DF">
        <w:rPr>
          <w:sz w:val="24"/>
        </w:rPr>
        <w:t xml:space="preserve"> [2023] EWHC 1201 (KB) (26 May 2023),</w:t>
      </w:r>
      <w:r w:rsidR="00C0248B">
        <w:rPr>
          <w:sz w:val="24"/>
        </w:rPr>
        <w:t xml:space="preserve"> §</w:t>
      </w:r>
      <w:r w:rsidR="00C0248B" w:rsidRPr="00E259DF">
        <w:rPr>
          <w:sz w:val="24"/>
        </w:rPr>
        <w:t>57</w:t>
      </w:r>
      <w:r w:rsidR="006663F9">
        <w:rPr>
          <w:sz w:val="24"/>
        </w:rPr>
        <w:t xml:space="preserve"> </w:t>
      </w:r>
      <w:r w:rsidR="006663F9" w:rsidRPr="003A6F49">
        <w:rPr>
          <w:b/>
          <w:bCs/>
          <w:sz w:val="24"/>
          <w:szCs w:val="24"/>
        </w:rPr>
        <w:t>[AB/</w:t>
      </w:r>
      <w:r w:rsidR="006663F9">
        <w:rPr>
          <w:b/>
          <w:bCs/>
          <w:sz w:val="24"/>
          <w:szCs w:val="24"/>
        </w:rPr>
        <w:t>403</w:t>
      </w:r>
      <w:r w:rsidR="006663F9" w:rsidRPr="003A6F49">
        <w:rPr>
          <w:b/>
          <w:bCs/>
          <w:sz w:val="24"/>
          <w:szCs w:val="24"/>
        </w:rPr>
        <w:t>]</w:t>
      </w:r>
      <w:r w:rsidR="00C0248B" w:rsidRPr="00E259DF">
        <w:rPr>
          <w:sz w:val="24"/>
        </w:rPr>
        <w:t>.</w:t>
      </w:r>
      <w:r w:rsidR="003F3B2A">
        <w:rPr>
          <w:sz w:val="24"/>
        </w:rPr>
        <w:t xml:space="preserve"> </w:t>
      </w:r>
    </w:p>
    <w:p w14:paraId="5EF88732" w14:textId="3B925DC1" w:rsidR="00A9647C" w:rsidRDefault="003F3B2A" w:rsidP="00A9647C">
      <w:pPr>
        <w:pStyle w:val="ListParagraph"/>
        <w:numPr>
          <w:ilvl w:val="0"/>
          <w:numId w:val="15"/>
        </w:numPr>
        <w:spacing w:after="240" w:line="360" w:lineRule="auto"/>
        <w:ind w:left="567" w:hanging="567"/>
        <w:rPr>
          <w:sz w:val="24"/>
        </w:rPr>
      </w:pPr>
      <w:r>
        <w:rPr>
          <w:sz w:val="24"/>
        </w:rPr>
        <w:t xml:space="preserve">In the event the Supreme Court decision in </w:t>
      </w:r>
      <w:r>
        <w:rPr>
          <w:i/>
          <w:iCs/>
          <w:sz w:val="24"/>
        </w:rPr>
        <w:t xml:space="preserve">Wolverhampton CC v </w:t>
      </w:r>
      <w:r w:rsidR="000F7889">
        <w:rPr>
          <w:i/>
          <w:iCs/>
          <w:sz w:val="24"/>
        </w:rPr>
        <w:t xml:space="preserve">London Gypsies and Travellers </w:t>
      </w:r>
      <w:r w:rsidR="000F7889">
        <w:rPr>
          <w:sz w:val="24"/>
        </w:rPr>
        <w:t>(heard in February 2023)</w:t>
      </w:r>
      <w:r w:rsidR="00E17A2B">
        <w:rPr>
          <w:sz w:val="24"/>
        </w:rPr>
        <w:t xml:space="preserve"> has a material effect on any final injunction granted in this case, the Claimants will be under a duty to </w:t>
      </w:r>
      <w:r w:rsidR="00033F12">
        <w:rPr>
          <w:sz w:val="24"/>
        </w:rPr>
        <w:t>tell the Court and/or Defendants of the change</w:t>
      </w:r>
      <w:r w:rsidR="00C932AA">
        <w:rPr>
          <w:sz w:val="24"/>
        </w:rPr>
        <w:t xml:space="preserve">: </w:t>
      </w:r>
      <w:r w:rsidR="00C156FD" w:rsidRPr="00C156FD">
        <w:rPr>
          <w:i/>
          <w:iCs/>
          <w:sz w:val="24"/>
        </w:rPr>
        <w:t xml:space="preserve">Enfield LBC v Persons Unknown </w:t>
      </w:r>
      <w:r w:rsidR="00C156FD" w:rsidRPr="00C156FD">
        <w:rPr>
          <w:sz w:val="24"/>
        </w:rPr>
        <w:t>[2020] EWHC 2717 (KB), §§27-32 (Nicklin J)</w:t>
      </w:r>
      <w:r w:rsidR="006663F9">
        <w:rPr>
          <w:sz w:val="24"/>
        </w:rPr>
        <w:t xml:space="preserve"> </w:t>
      </w:r>
      <w:r w:rsidR="006663F9" w:rsidRPr="003A6F49">
        <w:rPr>
          <w:b/>
          <w:bCs/>
          <w:sz w:val="24"/>
          <w:szCs w:val="24"/>
        </w:rPr>
        <w:t>[AB/</w:t>
      </w:r>
      <w:r w:rsidR="002D505C">
        <w:rPr>
          <w:b/>
          <w:bCs/>
          <w:sz w:val="24"/>
          <w:szCs w:val="24"/>
        </w:rPr>
        <w:t>91</w:t>
      </w:r>
      <w:r w:rsidR="006663F9" w:rsidRPr="003A6F49">
        <w:rPr>
          <w:b/>
          <w:bCs/>
          <w:sz w:val="24"/>
          <w:szCs w:val="24"/>
        </w:rPr>
        <w:t>]</w:t>
      </w:r>
      <w:r w:rsidR="00C156FD" w:rsidRPr="00C156FD">
        <w:rPr>
          <w:sz w:val="24"/>
        </w:rPr>
        <w:t>.</w:t>
      </w:r>
    </w:p>
    <w:p w14:paraId="40721A3F" w14:textId="77777777" w:rsidR="001508A7" w:rsidRPr="001508A7" w:rsidRDefault="001508A7" w:rsidP="001508A7">
      <w:pPr>
        <w:pStyle w:val="ListParagraph"/>
        <w:spacing w:line="360" w:lineRule="auto"/>
        <w:ind w:left="567" w:firstLine="0"/>
        <w:rPr>
          <w:sz w:val="6"/>
          <w:szCs w:val="6"/>
        </w:rPr>
      </w:pPr>
    </w:p>
    <w:p w14:paraId="2EDC41F7" w14:textId="3C446E9B" w:rsidR="0045778D" w:rsidRDefault="0045778D" w:rsidP="00054E77">
      <w:pPr>
        <w:pStyle w:val="ListParagraph"/>
        <w:numPr>
          <w:ilvl w:val="0"/>
          <w:numId w:val="21"/>
        </w:numPr>
        <w:tabs>
          <w:tab w:val="left" w:pos="567"/>
        </w:tabs>
        <w:spacing w:line="360" w:lineRule="auto"/>
        <w:ind w:left="1134" w:right="116" w:hanging="567"/>
        <w:rPr>
          <w:b/>
          <w:bCs/>
          <w:sz w:val="24"/>
        </w:rPr>
      </w:pPr>
      <w:r>
        <w:rPr>
          <w:b/>
          <w:bCs/>
          <w:sz w:val="24"/>
        </w:rPr>
        <w:t>ECHR rights</w:t>
      </w:r>
    </w:p>
    <w:p w14:paraId="119B29D9" w14:textId="1609E42D" w:rsidR="006D6CF0" w:rsidRPr="00C27609" w:rsidRDefault="00D616B0" w:rsidP="00054E77">
      <w:pPr>
        <w:pStyle w:val="ListParagraph"/>
        <w:numPr>
          <w:ilvl w:val="0"/>
          <w:numId w:val="15"/>
        </w:numPr>
        <w:tabs>
          <w:tab w:val="left" w:pos="567"/>
        </w:tabs>
        <w:spacing w:before="161" w:line="360" w:lineRule="auto"/>
        <w:ind w:left="567" w:right="118" w:hanging="567"/>
        <w:rPr>
          <w:i/>
          <w:sz w:val="24"/>
        </w:rPr>
      </w:pPr>
      <w:r w:rsidRPr="00C27609">
        <w:rPr>
          <w:sz w:val="24"/>
        </w:rPr>
        <w:t>The injunction sought by the Claimant relate</w:t>
      </w:r>
      <w:r w:rsidR="0025066A" w:rsidRPr="00C27609">
        <w:rPr>
          <w:sz w:val="24"/>
        </w:rPr>
        <w:t>s</w:t>
      </w:r>
      <w:r w:rsidRPr="00C27609">
        <w:rPr>
          <w:sz w:val="24"/>
        </w:rPr>
        <w:t xml:space="preserve"> to private land only. </w:t>
      </w:r>
      <w:r w:rsidR="00C35F47" w:rsidRPr="00C27609">
        <w:rPr>
          <w:sz w:val="24"/>
        </w:rPr>
        <w:t xml:space="preserve">As such, </w:t>
      </w:r>
      <w:r w:rsidR="00FB12E3" w:rsidRPr="00C27609">
        <w:rPr>
          <w:sz w:val="24"/>
        </w:rPr>
        <w:t xml:space="preserve">the </w:t>
      </w:r>
      <w:r w:rsidRPr="00C27609">
        <w:rPr>
          <w:sz w:val="24"/>
        </w:rPr>
        <w:t>Article</w:t>
      </w:r>
      <w:r w:rsidRPr="00C27609">
        <w:rPr>
          <w:spacing w:val="-7"/>
          <w:sz w:val="24"/>
        </w:rPr>
        <w:t xml:space="preserve"> </w:t>
      </w:r>
      <w:r w:rsidRPr="00C27609">
        <w:rPr>
          <w:sz w:val="24"/>
        </w:rPr>
        <w:t>10</w:t>
      </w:r>
      <w:r w:rsidRPr="00C27609">
        <w:rPr>
          <w:spacing w:val="-3"/>
          <w:sz w:val="24"/>
        </w:rPr>
        <w:t xml:space="preserve"> </w:t>
      </w:r>
      <w:r w:rsidRPr="00C27609">
        <w:rPr>
          <w:sz w:val="24"/>
        </w:rPr>
        <w:t>and</w:t>
      </w:r>
      <w:r w:rsidRPr="00C27609">
        <w:rPr>
          <w:spacing w:val="-7"/>
          <w:sz w:val="24"/>
        </w:rPr>
        <w:t xml:space="preserve"> </w:t>
      </w:r>
      <w:r w:rsidRPr="00C27609">
        <w:rPr>
          <w:sz w:val="24"/>
        </w:rPr>
        <w:t xml:space="preserve">11 ECHR </w:t>
      </w:r>
      <w:r w:rsidR="00FB12E3" w:rsidRPr="00C27609">
        <w:rPr>
          <w:sz w:val="24"/>
        </w:rPr>
        <w:t xml:space="preserve">rights of the Defendant </w:t>
      </w:r>
      <w:r w:rsidRPr="00C27609">
        <w:rPr>
          <w:sz w:val="24"/>
        </w:rPr>
        <w:t>provide</w:t>
      </w:r>
      <w:r w:rsidRPr="00C27609">
        <w:rPr>
          <w:spacing w:val="-8"/>
          <w:sz w:val="24"/>
        </w:rPr>
        <w:t xml:space="preserve"> </w:t>
      </w:r>
      <w:r w:rsidRPr="00C27609">
        <w:rPr>
          <w:sz w:val="24"/>
        </w:rPr>
        <w:t>no</w:t>
      </w:r>
      <w:r w:rsidRPr="00C27609">
        <w:rPr>
          <w:spacing w:val="-7"/>
          <w:sz w:val="24"/>
        </w:rPr>
        <w:t xml:space="preserve"> </w:t>
      </w:r>
      <w:r w:rsidRPr="00C27609">
        <w:rPr>
          <w:sz w:val="24"/>
        </w:rPr>
        <w:t>defence</w:t>
      </w:r>
      <w:r w:rsidR="00C715B9" w:rsidRPr="00C27609">
        <w:rPr>
          <w:sz w:val="24"/>
        </w:rPr>
        <w:t xml:space="preserve"> as those provisions </w:t>
      </w:r>
      <w:r w:rsidR="00C715B9" w:rsidRPr="00C27609">
        <w:rPr>
          <w:spacing w:val="-2"/>
          <w:sz w:val="24"/>
        </w:rPr>
        <w:t>do not provide a right to enter onto private land</w:t>
      </w:r>
      <w:r w:rsidR="00321BCC">
        <w:rPr>
          <w:spacing w:val="-2"/>
          <w:sz w:val="24"/>
        </w:rPr>
        <w:t xml:space="preserve">: </w:t>
      </w:r>
      <w:r w:rsidRPr="00C27609">
        <w:rPr>
          <w:i/>
          <w:sz w:val="24"/>
        </w:rPr>
        <w:t>DPP v Cuciurean</w:t>
      </w:r>
      <w:r w:rsidRPr="00C27609">
        <w:rPr>
          <w:i/>
          <w:spacing w:val="-1"/>
          <w:sz w:val="24"/>
        </w:rPr>
        <w:t xml:space="preserve"> </w:t>
      </w:r>
      <w:r w:rsidRPr="00C27609">
        <w:rPr>
          <w:sz w:val="24"/>
        </w:rPr>
        <w:t>[2022] EWHC 736</w:t>
      </w:r>
      <w:r w:rsidRPr="00C27609">
        <w:rPr>
          <w:spacing w:val="-1"/>
          <w:sz w:val="24"/>
        </w:rPr>
        <w:t xml:space="preserve"> </w:t>
      </w:r>
      <w:r w:rsidRPr="00C27609">
        <w:rPr>
          <w:sz w:val="24"/>
        </w:rPr>
        <w:t xml:space="preserve">(Admin), </w:t>
      </w:r>
      <w:r w:rsidR="00065E95" w:rsidRPr="00C27609">
        <w:rPr>
          <w:sz w:val="24"/>
        </w:rPr>
        <w:t>§§</w:t>
      </w:r>
      <w:r w:rsidRPr="00C27609">
        <w:rPr>
          <w:sz w:val="24"/>
        </w:rPr>
        <w:t>45 and 76</w:t>
      </w:r>
      <w:r w:rsidR="00065E95" w:rsidRPr="00C27609">
        <w:rPr>
          <w:sz w:val="24"/>
        </w:rPr>
        <w:t>-</w:t>
      </w:r>
      <w:r w:rsidRPr="00C27609">
        <w:rPr>
          <w:sz w:val="24"/>
        </w:rPr>
        <w:t>77</w:t>
      </w:r>
      <w:r w:rsidR="002D505C">
        <w:rPr>
          <w:sz w:val="24"/>
        </w:rPr>
        <w:t xml:space="preserve"> </w:t>
      </w:r>
      <w:r w:rsidR="002D505C" w:rsidRPr="003A6F49">
        <w:rPr>
          <w:b/>
          <w:bCs/>
          <w:sz w:val="24"/>
          <w:szCs w:val="24"/>
        </w:rPr>
        <w:t>[AB/</w:t>
      </w:r>
      <w:r w:rsidR="008B0F82">
        <w:rPr>
          <w:b/>
          <w:bCs/>
          <w:sz w:val="24"/>
          <w:szCs w:val="24"/>
        </w:rPr>
        <w:t>272, 278</w:t>
      </w:r>
      <w:r w:rsidR="002D505C" w:rsidRPr="003A6F49">
        <w:rPr>
          <w:b/>
          <w:bCs/>
          <w:sz w:val="24"/>
          <w:szCs w:val="24"/>
        </w:rPr>
        <w:t>]</w:t>
      </w:r>
      <w:r w:rsidR="006D6CF0" w:rsidRPr="00C27609">
        <w:rPr>
          <w:spacing w:val="-2"/>
          <w:sz w:val="24"/>
        </w:rPr>
        <w:t xml:space="preserve">; </w:t>
      </w:r>
      <w:r w:rsidR="006D6CF0" w:rsidRPr="00C27609">
        <w:rPr>
          <w:i/>
          <w:sz w:val="24"/>
        </w:rPr>
        <w:t xml:space="preserve">Ineos Upstream v Persons Unknown </w:t>
      </w:r>
      <w:r w:rsidR="006D6CF0" w:rsidRPr="00C27609">
        <w:rPr>
          <w:iCs/>
          <w:sz w:val="24"/>
        </w:rPr>
        <w:t>[2019] 4 WLR 100 (CA), §36 (Longmore LJ)</w:t>
      </w:r>
      <w:r w:rsidR="008B0F82">
        <w:rPr>
          <w:iCs/>
          <w:sz w:val="24"/>
        </w:rPr>
        <w:t xml:space="preserve"> </w:t>
      </w:r>
      <w:r w:rsidR="008B0F82" w:rsidRPr="003A6F49">
        <w:rPr>
          <w:b/>
          <w:bCs/>
          <w:sz w:val="24"/>
          <w:szCs w:val="24"/>
        </w:rPr>
        <w:t>[AB/</w:t>
      </w:r>
      <w:r w:rsidR="008B0F82">
        <w:rPr>
          <w:b/>
          <w:bCs/>
          <w:sz w:val="24"/>
          <w:szCs w:val="24"/>
        </w:rPr>
        <w:t>54</w:t>
      </w:r>
      <w:r w:rsidR="008B0F82" w:rsidRPr="003A6F49">
        <w:rPr>
          <w:b/>
          <w:bCs/>
          <w:sz w:val="24"/>
          <w:szCs w:val="24"/>
        </w:rPr>
        <w:t>]</w:t>
      </w:r>
      <w:r w:rsidR="00980613" w:rsidRPr="00C27609">
        <w:rPr>
          <w:iCs/>
          <w:sz w:val="24"/>
        </w:rPr>
        <w:t>.</w:t>
      </w:r>
    </w:p>
    <w:p w14:paraId="7753E1F5" w14:textId="77777777" w:rsidR="0045778D" w:rsidRPr="001508A7" w:rsidRDefault="0045778D" w:rsidP="0045778D">
      <w:pPr>
        <w:tabs>
          <w:tab w:val="left" w:pos="567"/>
        </w:tabs>
        <w:spacing w:after="240" w:line="360" w:lineRule="auto"/>
        <w:ind w:right="116"/>
        <w:rPr>
          <w:b/>
          <w:bCs/>
          <w:sz w:val="6"/>
          <w:szCs w:val="6"/>
        </w:rPr>
      </w:pPr>
    </w:p>
    <w:p w14:paraId="38EB5E70" w14:textId="1154A53D" w:rsidR="0045778D" w:rsidRDefault="0045778D" w:rsidP="00054E77">
      <w:pPr>
        <w:pStyle w:val="ListParagraph"/>
        <w:numPr>
          <w:ilvl w:val="0"/>
          <w:numId w:val="21"/>
        </w:numPr>
        <w:tabs>
          <w:tab w:val="left" w:pos="567"/>
        </w:tabs>
        <w:spacing w:line="360" w:lineRule="auto"/>
        <w:ind w:left="1134" w:right="116" w:hanging="567"/>
        <w:rPr>
          <w:b/>
          <w:bCs/>
          <w:sz w:val="24"/>
        </w:rPr>
      </w:pPr>
      <w:r>
        <w:rPr>
          <w:b/>
          <w:bCs/>
          <w:sz w:val="24"/>
        </w:rPr>
        <w:t>Service</w:t>
      </w:r>
    </w:p>
    <w:p w14:paraId="39F01238" w14:textId="7F63693B" w:rsidR="0045778D" w:rsidRPr="00E82A61" w:rsidRDefault="0045778D" w:rsidP="00E82A61">
      <w:pPr>
        <w:pStyle w:val="ListParagraph"/>
        <w:numPr>
          <w:ilvl w:val="0"/>
          <w:numId w:val="15"/>
        </w:numPr>
        <w:ind w:left="567" w:hanging="567"/>
        <w:rPr>
          <w:sz w:val="24"/>
        </w:rPr>
      </w:pPr>
      <w:r>
        <w:rPr>
          <w:sz w:val="24"/>
        </w:rPr>
        <w:t xml:space="preserve">The service requirements have been satisfied for the reasons set out at </w:t>
      </w:r>
      <w:r w:rsidRPr="00E82A61">
        <w:rPr>
          <w:b/>
          <w:bCs/>
          <w:sz w:val="24"/>
        </w:rPr>
        <w:t>§</w:t>
      </w:r>
      <w:r w:rsidR="008C0C62" w:rsidRPr="00E82A61">
        <w:rPr>
          <w:b/>
          <w:bCs/>
          <w:sz w:val="24"/>
        </w:rPr>
        <w:t>§8-1</w:t>
      </w:r>
      <w:r w:rsidR="00E82A61" w:rsidRPr="00E82A61">
        <w:rPr>
          <w:b/>
          <w:bCs/>
          <w:sz w:val="24"/>
        </w:rPr>
        <w:t>1</w:t>
      </w:r>
      <w:r w:rsidRPr="00E82A61">
        <w:rPr>
          <w:b/>
          <w:bCs/>
          <w:sz w:val="24"/>
        </w:rPr>
        <w:t xml:space="preserve"> above</w:t>
      </w:r>
      <w:r w:rsidRPr="00E82A61">
        <w:rPr>
          <w:sz w:val="24"/>
        </w:rPr>
        <w:t xml:space="preserve">. </w:t>
      </w:r>
    </w:p>
    <w:p w14:paraId="4F6A4745" w14:textId="77777777" w:rsidR="007256A9" w:rsidRPr="007256A9" w:rsidRDefault="007256A9" w:rsidP="007256A9">
      <w:pPr>
        <w:pStyle w:val="ListParagraph"/>
        <w:rPr>
          <w:sz w:val="24"/>
        </w:rPr>
      </w:pPr>
    </w:p>
    <w:p w14:paraId="49A58142" w14:textId="77777777" w:rsidR="00BB57FF" w:rsidRPr="00E91B76" w:rsidRDefault="00BB57FF">
      <w:pPr>
        <w:pStyle w:val="BodyText"/>
        <w:spacing w:before="10"/>
        <w:rPr>
          <w:sz w:val="6"/>
          <w:szCs w:val="6"/>
        </w:rPr>
      </w:pPr>
    </w:p>
    <w:p w14:paraId="7501D329" w14:textId="77777777" w:rsidR="00A9647C" w:rsidRPr="00A9647C" w:rsidRDefault="00A9647C" w:rsidP="00A9647C">
      <w:pPr>
        <w:pStyle w:val="ListParagraph"/>
        <w:ind w:left="567" w:firstLine="0"/>
        <w:rPr>
          <w:b/>
          <w:sz w:val="24"/>
        </w:rPr>
      </w:pPr>
    </w:p>
    <w:p w14:paraId="49A58143" w14:textId="4941F7D0" w:rsidR="00BB57FF" w:rsidRPr="008A0D37" w:rsidRDefault="001508A7" w:rsidP="008A0D37">
      <w:pPr>
        <w:pStyle w:val="ListParagraph"/>
        <w:numPr>
          <w:ilvl w:val="0"/>
          <w:numId w:val="18"/>
        </w:numPr>
        <w:ind w:left="567" w:hanging="567"/>
        <w:rPr>
          <w:b/>
          <w:sz w:val="24"/>
        </w:rPr>
      </w:pPr>
      <w:r w:rsidRPr="008A0D37">
        <w:rPr>
          <w:b/>
          <w:spacing w:val="-2"/>
          <w:sz w:val="24"/>
        </w:rPr>
        <w:t>CONCLUSION</w:t>
      </w:r>
    </w:p>
    <w:p w14:paraId="49A58144" w14:textId="77777777" w:rsidR="00BB57FF" w:rsidRPr="00083184" w:rsidRDefault="00BB57FF">
      <w:pPr>
        <w:pStyle w:val="BodyText"/>
        <w:spacing w:before="10"/>
        <w:rPr>
          <w:b/>
          <w:sz w:val="25"/>
        </w:rPr>
      </w:pPr>
    </w:p>
    <w:p w14:paraId="49A58145" w14:textId="7DF517A1" w:rsidR="00BB57FF" w:rsidRPr="008A0D37" w:rsidRDefault="001474D2" w:rsidP="00C27609">
      <w:pPr>
        <w:pStyle w:val="ListParagraph"/>
        <w:numPr>
          <w:ilvl w:val="0"/>
          <w:numId w:val="15"/>
        </w:numPr>
        <w:tabs>
          <w:tab w:val="left" w:pos="567"/>
        </w:tabs>
        <w:spacing w:line="360" w:lineRule="auto"/>
        <w:ind w:left="567" w:right="118" w:hanging="567"/>
        <w:rPr>
          <w:sz w:val="24"/>
        </w:rPr>
      </w:pPr>
      <w:r w:rsidRPr="00083184">
        <w:rPr>
          <w:sz w:val="24"/>
        </w:rPr>
        <w:t>The</w:t>
      </w:r>
      <w:r w:rsidRPr="00083184">
        <w:rPr>
          <w:spacing w:val="-1"/>
          <w:sz w:val="24"/>
        </w:rPr>
        <w:t xml:space="preserve"> </w:t>
      </w:r>
      <w:r w:rsidRPr="00083184">
        <w:rPr>
          <w:sz w:val="24"/>
        </w:rPr>
        <w:t>Court is therefore</w:t>
      </w:r>
      <w:r w:rsidRPr="00083184">
        <w:rPr>
          <w:spacing w:val="-1"/>
          <w:sz w:val="24"/>
        </w:rPr>
        <w:t xml:space="preserve"> </w:t>
      </w:r>
      <w:r w:rsidRPr="00083184">
        <w:rPr>
          <w:sz w:val="24"/>
        </w:rPr>
        <w:t xml:space="preserve">respectfully requested to grant </w:t>
      </w:r>
      <w:r w:rsidR="008A0D37">
        <w:rPr>
          <w:sz w:val="24"/>
        </w:rPr>
        <w:t>a final</w:t>
      </w:r>
      <w:r w:rsidRPr="00083184">
        <w:rPr>
          <w:sz w:val="24"/>
        </w:rPr>
        <w:t xml:space="preserve"> order</w:t>
      </w:r>
      <w:r w:rsidRPr="00083184">
        <w:rPr>
          <w:spacing w:val="-1"/>
          <w:sz w:val="24"/>
        </w:rPr>
        <w:t xml:space="preserve"> </w:t>
      </w:r>
      <w:r w:rsidRPr="00083184">
        <w:rPr>
          <w:sz w:val="24"/>
        </w:rPr>
        <w:t>in the</w:t>
      </w:r>
      <w:r w:rsidRPr="00083184">
        <w:rPr>
          <w:spacing w:val="-1"/>
          <w:sz w:val="24"/>
        </w:rPr>
        <w:t xml:space="preserve"> </w:t>
      </w:r>
      <w:r w:rsidRPr="00083184">
        <w:rPr>
          <w:sz w:val="24"/>
        </w:rPr>
        <w:t>terms of</w:t>
      </w:r>
      <w:r w:rsidRPr="00083184">
        <w:rPr>
          <w:spacing w:val="-1"/>
          <w:sz w:val="24"/>
        </w:rPr>
        <w:t xml:space="preserve"> </w:t>
      </w:r>
      <w:r w:rsidRPr="00083184">
        <w:rPr>
          <w:sz w:val="24"/>
        </w:rPr>
        <w:t>the</w:t>
      </w:r>
      <w:r w:rsidRPr="00083184">
        <w:rPr>
          <w:spacing w:val="-1"/>
          <w:sz w:val="24"/>
        </w:rPr>
        <w:t xml:space="preserve"> </w:t>
      </w:r>
      <w:r w:rsidRPr="00083184">
        <w:rPr>
          <w:sz w:val="24"/>
        </w:rPr>
        <w:t xml:space="preserve">draft </w:t>
      </w:r>
      <w:r w:rsidRPr="00083184">
        <w:rPr>
          <w:spacing w:val="-2"/>
          <w:sz w:val="24"/>
        </w:rPr>
        <w:t>Order.</w:t>
      </w:r>
    </w:p>
    <w:p w14:paraId="49A58148" w14:textId="0F07766F" w:rsidR="00BB57FF" w:rsidRPr="00083184" w:rsidRDefault="006814CF">
      <w:pPr>
        <w:spacing w:line="499" w:lineRule="auto"/>
        <w:ind w:left="5879"/>
        <w:rPr>
          <w:b/>
          <w:sz w:val="24"/>
        </w:rPr>
      </w:pPr>
      <w:r>
        <w:rPr>
          <w:b/>
          <w:sz w:val="24"/>
        </w:rPr>
        <w:t>MYRIAM STACEY</w:t>
      </w:r>
      <w:r w:rsidR="001474D2" w:rsidRPr="00083184">
        <w:rPr>
          <w:b/>
          <w:spacing w:val="-15"/>
          <w:sz w:val="24"/>
        </w:rPr>
        <w:t xml:space="preserve"> </w:t>
      </w:r>
      <w:r w:rsidR="00B04003" w:rsidRPr="00083184">
        <w:rPr>
          <w:b/>
          <w:spacing w:val="-15"/>
          <w:sz w:val="24"/>
        </w:rPr>
        <w:t>K</w:t>
      </w:r>
      <w:r w:rsidR="001474D2" w:rsidRPr="00083184">
        <w:rPr>
          <w:b/>
          <w:sz w:val="24"/>
        </w:rPr>
        <w:t>C YAASER VANDERMAN</w:t>
      </w:r>
    </w:p>
    <w:p w14:paraId="58313609" w14:textId="77777777" w:rsidR="008A0D37" w:rsidRDefault="001474D2" w:rsidP="00CE5439">
      <w:pPr>
        <w:spacing w:line="499" w:lineRule="auto"/>
        <w:ind w:left="5879" w:right="1072"/>
        <w:rPr>
          <w:b/>
          <w:sz w:val="24"/>
        </w:rPr>
      </w:pPr>
      <w:r w:rsidRPr="00083184">
        <w:rPr>
          <w:b/>
          <w:sz w:val="24"/>
        </w:rPr>
        <w:t>Landmark</w:t>
      </w:r>
      <w:r w:rsidRPr="00083184">
        <w:rPr>
          <w:b/>
          <w:spacing w:val="-15"/>
          <w:sz w:val="24"/>
        </w:rPr>
        <w:t xml:space="preserve"> </w:t>
      </w:r>
      <w:r w:rsidRPr="00083184">
        <w:rPr>
          <w:b/>
          <w:sz w:val="24"/>
        </w:rPr>
        <w:t xml:space="preserve">Chambers </w:t>
      </w:r>
    </w:p>
    <w:p w14:paraId="5568A479" w14:textId="77777777" w:rsidR="008B0F82" w:rsidRDefault="008B0F82" w:rsidP="00CE5439">
      <w:pPr>
        <w:spacing w:line="499" w:lineRule="auto"/>
        <w:ind w:left="5879" w:right="1072"/>
        <w:rPr>
          <w:bCs/>
          <w:sz w:val="24"/>
        </w:rPr>
      </w:pPr>
    </w:p>
    <w:p w14:paraId="4DCE199A" w14:textId="73FD3F0C" w:rsidR="00D531E6" w:rsidRPr="008A0D37" w:rsidRDefault="0030168E" w:rsidP="00CE5439">
      <w:pPr>
        <w:spacing w:line="499" w:lineRule="auto"/>
        <w:ind w:left="5879" w:right="1072"/>
        <w:rPr>
          <w:bCs/>
          <w:sz w:val="24"/>
        </w:rPr>
      </w:pPr>
      <w:r w:rsidRPr="008A0D37">
        <w:rPr>
          <w:bCs/>
          <w:sz w:val="24"/>
        </w:rPr>
        <w:t>29 September</w:t>
      </w:r>
      <w:r w:rsidR="001474D2" w:rsidRPr="008A0D37">
        <w:rPr>
          <w:bCs/>
          <w:sz w:val="24"/>
        </w:rPr>
        <w:t xml:space="preserve"> 202</w:t>
      </w:r>
      <w:r w:rsidR="00B04003" w:rsidRPr="008A0D37">
        <w:rPr>
          <w:bCs/>
          <w:sz w:val="24"/>
        </w:rPr>
        <w:t>3</w:t>
      </w:r>
    </w:p>
    <w:sectPr w:rsidR="00D531E6" w:rsidRPr="008A0D37">
      <w:footerReference w:type="default" r:id="rId23"/>
      <w:pgSz w:w="11910" w:h="16840"/>
      <w:pgMar w:top="1360" w:right="1320" w:bottom="1220" w:left="1320"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9306B" w14:textId="77777777" w:rsidR="00773FF0" w:rsidRDefault="00773FF0">
      <w:r>
        <w:separator/>
      </w:r>
    </w:p>
  </w:endnote>
  <w:endnote w:type="continuationSeparator" w:id="0">
    <w:p w14:paraId="6CA74D71" w14:textId="77777777" w:rsidR="00773FF0" w:rsidRDefault="00773FF0">
      <w:r>
        <w:continuationSeparator/>
      </w:r>
    </w:p>
  </w:endnote>
  <w:endnote w:type="continuationNotice" w:id="1">
    <w:p w14:paraId="2BAAC28A" w14:textId="77777777" w:rsidR="00773FF0" w:rsidRDefault="00773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B660" w14:textId="77777777" w:rsidR="00AB3E46" w:rsidRDefault="00AB3E46">
    <w:pPr>
      <w:pStyle w:val="BodyText"/>
      <w:spacing w:line="14" w:lineRule="auto"/>
      <w:rPr>
        <w:sz w:val="20"/>
      </w:rPr>
    </w:pPr>
    <w:r>
      <w:rPr>
        <w:noProof/>
        <w:lang w:val="en-GB" w:eastAsia="en-GB"/>
      </w:rPr>
      <mc:AlternateContent>
        <mc:Choice Requires="wps">
          <w:drawing>
            <wp:anchor distT="0" distB="0" distL="114300" distR="114300" simplePos="0" relativeHeight="251658240" behindDoc="1" locked="0" layoutInCell="1" allowOverlap="1" wp14:anchorId="06D8A497" wp14:editId="402EFBAA">
              <wp:simplePos x="0" y="0"/>
              <wp:positionH relativeFrom="page">
                <wp:posOffset>3671570</wp:posOffset>
              </wp:positionH>
              <wp:positionV relativeFrom="page">
                <wp:posOffset>9904095</wp:posOffset>
              </wp:positionV>
              <wp:extent cx="2292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B9DE2" w14:textId="7888B00E" w:rsidR="00AB3E46" w:rsidRDefault="00AB3E46">
                          <w:pPr>
                            <w:spacing w:before="11"/>
                            <w:ind w:left="60"/>
                          </w:pPr>
                          <w:r>
                            <w:rPr>
                              <w:spacing w:val="-5"/>
                            </w:rPr>
                            <w:fldChar w:fldCharType="begin"/>
                          </w:r>
                          <w:r>
                            <w:rPr>
                              <w:spacing w:val="-5"/>
                            </w:rPr>
                            <w:instrText xml:space="preserve"> PAGE </w:instrText>
                          </w:r>
                          <w:r>
                            <w:rPr>
                              <w:spacing w:val="-5"/>
                            </w:rPr>
                            <w:fldChar w:fldCharType="separate"/>
                          </w:r>
                          <w:r w:rsidR="00037D1F">
                            <w:rPr>
                              <w:noProof/>
                              <w:spacing w:val="-5"/>
                            </w:rPr>
                            <w:t>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8A497" id="_x0000_t202" coordsize="21600,21600" o:spt="202" path="m,l,21600r21600,l21600,xe">
              <v:stroke joinstyle="miter"/>
              <v:path gradientshapeok="t" o:connecttype="rect"/>
            </v:shapetype>
            <v:shape id="Text Box 1" o:spid="_x0000_s1026" type="#_x0000_t202" style="position:absolute;margin-left:289.1pt;margin-top:779.85pt;width:18.0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" filled="f" stroked="f">
              <v:textbox inset="0,0,0,0">
                <w:txbxContent>
                  <w:p w14:paraId="3C2B9DE2" w14:textId="7888B00E" w:rsidR="00AB3E46" w:rsidRDefault="00AB3E46">
                    <w:pPr>
                      <w:spacing w:before="11"/>
                      <w:ind w:left="60"/>
                    </w:pPr>
                    <w:r>
                      <w:rPr>
                        <w:spacing w:val="-5"/>
                      </w:rPr>
                      <w:fldChar w:fldCharType="begin"/>
                    </w:r>
                    <w:r>
                      <w:rPr>
                        <w:spacing w:val="-5"/>
                      </w:rPr>
                      <w:instrText xml:space="preserve"> PAGE </w:instrText>
                    </w:r>
                    <w:r>
                      <w:rPr>
                        <w:spacing w:val="-5"/>
                      </w:rPr>
                      <w:fldChar w:fldCharType="separate"/>
                    </w:r>
                    <w:r w:rsidR="00037D1F">
                      <w:rPr>
                        <w:noProof/>
                        <w:spacing w:val="-5"/>
                      </w:rPr>
                      <w:t>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D660" w14:textId="77777777" w:rsidR="00773FF0" w:rsidRDefault="00773FF0">
      <w:r>
        <w:separator/>
      </w:r>
    </w:p>
  </w:footnote>
  <w:footnote w:type="continuationSeparator" w:id="0">
    <w:p w14:paraId="4FD9B3E7" w14:textId="77777777" w:rsidR="00773FF0" w:rsidRDefault="00773FF0">
      <w:r>
        <w:continuationSeparator/>
      </w:r>
    </w:p>
  </w:footnote>
  <w:footnote w:type="continuationNotice" w:id="1">
    <w:p w14:paraId="7FC1E329" w14:textId="77777777" w:rsidR="00773FF0" w:rsidRDefault="00773FF0"/>
  </w:footnote>
  <w:footnote w:id="2">
    <w:p w14:paraId="0B230584" w14:textId="0F334199" w:rsidR="00834376" w:rsidRPr="004A6D16" w:rsidRDefault="00834376">
      <w:pPr>
        <w:pStyle w:val="FootnoteText"/>
        <w:rPr>
          <w:lang w:val="en-GB"/>
        </w:rPr>
      </w:pPr>
      <w:r>
        <w:rPr>
          <w:rStyle w:val="FootnoteReference"/>
        </w:rPr>
        <w:footnoteRef/>
      </w:r>
      <w:r>
        <w:t xml:space="preserve"> </w:t>
      </w:r>
      <w:r w:rsidR="006D2F3F">
        <w:t xml:space="preserve">Section 12(3) Human Rights Act 1998 serves to elevate the usual </w:t>
      </w:r>
      <w:r w:rsidR="006D2F3F">
        <w:rPr>
          <w:i/>
          <w:iCs/>
        </w:rPr>
        <w:t xml:space="preserve">American Cyanamid </w:t>
      </w:r>
      <w:r w:rsidR="006D2F3F">
        <w:t>test of whether there is a “</w:t>
      </w:r>
      <w:r w:rsidR="006D2F3F">
        <w:rPr>
          <w:i/>
          <w:iCs/>
        </w:rPr>
        <w:t>serious issue to be tried”</w:t>
      </w:r>
      <w:r w:rsidR="006D2F3F">
        <w:t xml:space="preserve"> </w:t>
      </w:r>
      <w:r w:rsidR="00B60344">
        <w:t xml:space="preserve">to whether </w:t>
      </w:r>
      <w:r w:rsidR="00B7277B">
        <w:t>the applicant is “</w:t>
      </w:r>
      <w:r w:rsidR="00B7277B">
        <w:rPr>
          <w:i/>
          <w:iCs/>
        </w:rPr>
        <w:t>likely”</w:t>
      </w:r>
      <w:r w:rsidR="004A6D16">
        <w:t xml:space="preserve"> to succeed at trial. It applies only to “</w:t>
      </w:r>
      <w:r w:rsidR="004A6D16">
        <w:rPr>
          <w:i/>
          <w:iCs/>
        </w:rPr>
        <w:t>publication”</w:t>
      </w:r>
      <w:r w:rsidR="004A6D16">
        <w:t xml:space="preserve"> but </w:t>
      </w:r>
      <w:r w:rsidR="003661E6">
        <w:t xml:space="preserve">on each occasion the Judge applied the test as if it </w:t>
      </w:r>
      <w:r w:rsidR="002D4F89">
        <w:t xml:space="preserve">related </w:t>
      </w:r>
      <w:r w:rsidR="003661E6">
        <w:t xml:space="preserve">to the direct action relevant to this claim. </w:t>
      </w:r>
    </w:p>
  </w:footnote>
  <w:footnote w:id="3">
    <w:p w14:paraId="19226835" w14:textId="1B3D5725" w:rsidR="004A6DD6" w:rsidRPr="004A6DD6" w:rsidRDefault="004A6DD6">
      <w:pPr>
        <w:pStyle w:val="FootnoteText"/>
        <w:rPr>
          <w:lang w:val="en-GB"/>
        </w:rPr>
      </w:pPr>
      <w:r>
        <w:rPr>
          <w:rStyle w:val="FootnoteReference"/>
        </w:rPr>
        <w:footnoteRef/>
      </w:r>
      <w:r>
        <w:t xml:space="preserve"> </w:t>
      </w:r>
      <w:r w:rsidRPr="004A6DD6">
        <w:rPr>
          <w:i/>
          <w:iCs/>
        </w:rPr>
        <w:t>Esso Petroleum Company Ltd v Persons Unknown</w:t>
      </w:r>
      <w:r w:rsidRPr="004A6DD6">
        <w:t xml:space="preserve"> [2023] EWHC 1837 (KB)</w:t>
      </w:r>
      <w:r>
        <w:t xml:space="preserve">, </w:t>
      </w:r>
      <w:r w:rsidR="00752447" w:rsidRPr="004A6DD6">
        <w:t>§</w:t>
      </w:r>
      <w:r>
        <w:t>71(f)</w:t>
      </w:r>
      <w:r w:rsidR="00205485">
        <w:t xml:space="preserve"> </w:t>
      </w:r>
      <w:r w:rsidR="00205485">
        <w:rPr>
          <w:b/>
          <w:bCs/>
        </w:rPr>
        <w:t>[AB/</w:t>
      </w:r>
      <w:r w:rsidR="00B4404F">
        <w:rPr>
          <w:b/>
          <w:bCs/>
        </w:rPr>
        <w:t>464</w:t>
      </w:r>
      <w:r w:rsidR="00205485">
        <w:rPr>
          <w:b/>
          <w:bCs/>
        </w:rPr>
        <w:t>]</w:t>
      </w:r>
      <w:r>
        <w:t xml:space="preserve">; </w:t>
      </w:r>
      <w:r w:rsidRPr="004A6DD6">
        <w:rPr>
          <w:i/>
          <w:iCs/>
        </w:rPr>
        <w:t>TfL v Persons Unknown</w:t>
      </w:r>
      <w:r w:rsidRPr="004A6DD6">
        <w:t xml:space="preserve"> [2023] EWHC 1038 (KB), §52</w:t>
      </w:r>
      <w:r w:rsidR="00B4404F">
        <w:t xml:space="preserve"> </w:t>
      </w:r>
      <w:r w:rsidR="00B4404F">
        <w:rPr>
          <w:b/>
          <w:bCs/>
        </w:rPr>
        <w:t>[AB/</w:t>
      </w:r>
      <w:r w:rsidR="003A6F49">
        <w:rPr>
          <w:b/>
          <w:bCs/>
        </w:rPr>
        <w:t>384</w:t>
      </w:r>
      <w:r w:rsidR="00B4404F">
        <w:rPr>
          <w:b/>
          <w:bCs/>
        </w:rPr>
        <w:t>]</w:t>
      </w:r>
      <w:r w:rsidRPr="004A6DD6">
        <w:t xml:space="preserve">; and, </w:t>
      </w:r>
      <w:r w:rsidRPr="004A6DD6">
        <w:rPr>
          <w:i/>
          <w:iCs/>
        </w:rPr>
        <w:t xml:space="preserve">TfL v Lee </w:t>
      </w:r>
      <w:r w:rsidRPr="004A6DD6">
        <w:t>[2023] EWHC 1201 (KB), §57</w:t>
      </w:r>
      <w:r w:rsidR="00B4404F">
        <w:t xml:space="preserve"> </w:t>
      </w:r>
      <w:r w:rsidR="00B4404F">
        <w:rPr>
          <w:b/>
          <w:bCs/>
        </w:rPr>
        <w:t>[AB/</w:t>
      </w:r>
      <w:r w:rsidR="009D2B4F">
        <w:rPr>
          <w:b/>
          <w:bCs/>
        </w:rPr>
        <w:t>403</w:t>
      </w:r>
      <w:r w:rsidR="00B4404F">
        <w:rPr>
          <w:b/>
          <w:bCs/>
        </w:rPr>
        <w:t>]</w:t>
      </w:r>
      <w:r w:rsidRPr="004A6DD6">
        <w:t>.</w:t>
      </w:r>
    </w:p>
  </w:footnote>
  <w:footnote w:id="4">
    <w:p w14:paraId="3272C799" w14:textId="5C1728B2" w:rsidR="00B02D7D" w:rsidRPr="00B02D7D" w:rsidRDefault="00B02D7D">
      <w:pPr>
        <w:pStyle w:val="FootnoteText"/>
        <w:rPr>
          <w:lang w:val="en-GB"/>
        </w:rPr>
      </w:pPr>
      <w:r>
        <w:rPr>
          <w:rStyle w:val="FootnoteReference"/>
        </w:rPr>
        <w:footnoteRef/>
      </w:r>
      <w:r>
        <w:t xml:space="preserve"> </w:t>
      </w:r>
      <w:r>
        <w:rPr>
          <w:lang w:val="en-GB"/>
        </w:rPr>
        <w:t>CPR 24.4(1) provides that a claimant may not apply for summary judgment until the defendant has filed an acknowledgement of service or defence</w:t>
      </w:r>
      <w:r w:rsidR="0010050C">
        <w:rPr>
          <w:lang w:val="en-GB"/>
        </w:rPr>
        <w:t xml:space="preserve"> unless the court gives permission. </w:t>
      </w:r>
    </w:p>
  </w:footnote>
  <w:footnote w:id="5">
    <w:p w14:paraId="6053C740" w14:textId="256110A6" w:rsidR="00117224" w:rsidRPr="00117224" w:rsidRDefault="00117224">
      <w:pPr>
        <w:pStyle w:val="FootnoteText"/>
        <w:rPr>
          <w:lang w:val="en-GB"/>
        </w:rPr>
      </w:pPr>
      <w:r>
        <w:rPr>
          <w:rStyle w:val="FootnoteReference"/>
        </w:rPr>
        <w:footnoteRef/>
      </w:r>
      <w:r>
        <w:t xml:space="preserve"> </w:t>
      </w:r>
      <w:r>
        <w:rPr>
          <w:lang w:val="en-GB"/>
        </w:rPr>
        <w:t xml:space="preserve">Phillips 1 incorrectly states that the email was sent to </w:t>
      </w:r>
      <w:hyperlink r:id="rId1" w:history="1">
        <w:r w:rsidR="008329BD" w:rsidRPr="00873C5A">
          <w:rPr>
            <w:rStyle w:val="Hyperlink"/>
            <w:lang w:val="en-GB"/>
          </w:rPr>
          <w:t>juststopoil@protonmail.co.uk</w:t>
        </w:r>
      </w:hyperlink>
      <w:r w:rsidR="008329BD">
        <w:rPr>
          <w:lang w:val="en-GB"/>
        </w:rPr>
        <w:t xml:space="preserve"> instead of </w:t>
      </w:r>
      <w:hyperlink r:id="rId2" w:history="1">
        <w:r w:rsidR="008329BD" w:rsidRPr="008B3C40">
          <w:rPr>
            <w:rStyle w:val="Hyperlink"/>
            <w:bCs/>
          </w:rPr>
          <w:t>info@juststopoil.org</w:t>
        </w:r>
      </w:hyperlink>
      <w:r w:rsidR="008329BD" w:rsidRPr="00BF737A">
        <w:t>.</w:t>
      </w:r>
      <w:r w:rsidR="00BF737A" w:rsidRPr="00BF737A">
        <w:t xml:space="preserve"> </w:t>
      </w:r>
      <w:r w:rsidR="00BF737A">
        <w:t xml:space="preserve">In fact, as demonstrated by the </w:t>
      </w:r>
      <w:r w:rsidR="007C03DD">
        <w:t>email itself</w:t>
      </w:r>
      <w:r w:rsidR="003978AD">
        <w:t xml:space="preserve"> </w:t>
      </w:r>
      <w:r w:rsidR="003978AD">
        <w:rPr>
          <w:b/>
          <w:bCs/>
        </w:rPr>
        <w:t>[HB/</w:t>
      </w:r>
      <w:r w:rsidR="00DC2797">
        <w:rPr>
          <w:b/>
          <w:bCs/>
        </w:rPr>
        <w:t>344</w:t>
      </w:r>
      <w:r w:rsidR="003978AD">
        <w:rPr>
          <w:b/>
          <w:bCs/>
        </w:rPr>
        <w:t>]</w:t>
      </w:r>
      <w:r w:rsidR="00BF737A">
        <w:t xml:space="preserve">, the email was sent to </w:t>
      </w:r>
      <w:hyperlink r:id="rId3" w:history="1">
        <w:r w:rsidR="00BF737A" w:rsidRPr="008B3C40">
          <w:rPr>
            <w:rStyle w:val="Hyperlink"/>
            <w:bCs/>
          </w:rPr>
          <w:t>info@juststopoil.org</w:t>
        </w:r>
      </w:hyperlink>
      <w:r w:rsidR="00BF737A">
        <w:rPr>
          <w:rStyle w:val="Hyperlink"/>
          <w:bCs/>
        </w:rPr>
        <w:t>.</w:t>
      </w:r>
    </w:p>
  </w:footnote>
  <w:footnote w:id="6">
    <w:p w14:paraId="18DB2238" w14:textId="280E9CC5" w:rsidR="005D1FF3" w:rsidRPr="005D1FF3" w:rsidRDefault="005D1FF3">
      <w:pPr>
        <w:pStyle w:val="FootnoteText"/>
        <w:rPr>
          <w:lang w:val="en-GB"/>
        </w:rPr>
      </w:pPr>
      <w:r>
        <w:rPr>
          <w:rStyle w:val="FootnoteReference"/>
        </w:rPr>
        <w:footnoteRef/>
      </w:r>
      <w:r>
        <w:t xml:space="preserve"> </w:t>
      </w:r>
      <w:r>
        <w:rPr>
          <w:lang w:val="en-GB"/>
        </w:rPr>
        <w:t xml:space="preserve">Phillips 1 incorrectly states that the email was sent to </w:t>
      </w:r>
      <w:hyperlink r:id="rId4" w:history="1">
        <w:r w:rsidRPr="00873C5A">
          <w:rPr>
            <w:rStyle w:val="Hyperlink"/>
            <w:lang w:val="en-GB"/>
          </w:rPr>
          <w:t>juststopoil@protonmail.co.uk</w:t>
        </w:r>
      </w:hyperlink>
      <w:r>
        <w:rPr>
          <w:lang w:val="en-GB"/>
        </w:rPr>
        <w:t xml:space="preserve"> instead of </w:t>
      </w:r>
      <w:hyperlink r:id="rId5" w:history="1">
        <w:r w:rsidRPr="008B3C40">
          <w:rPr>
            <w:rStyle w:val="Hyperlink"/>
            <w:bCs/>
          </w:rPr>
          <w:t>info@juststopoil.org</w:t>
        </w:r>
      </w:hyperlink>
      <w:r w:rsidRPr="00BF737A">
        <w:t xml:space="preserve">. </w:t>
      </w:r>
      <w:r>
        <w:t xml:space="preserve">In fact, as demonstrated by the </w:t>
      </w:r>
      <w:r w:rsidR="007C03DD">
        <w:t>email itself</w:t>
      </w:r>
      <w:r>
        <w:t xml:space="preserve"> </w:t>
      </w:r>
      <w:r>
        <w:rPr>
          <w:b/>
          <w:bCs/>
        </w:rPr>
        <w:t>[HB/</w:t>
      </w:r>
      <w:r w:rsidR="00DC2797">
        <w:rPr>
          <w:b/>
          <w:bCs/>
        </w:rPr>
        <w:t>353</w:t>
      </w:r>
      <w:r>
        <w:rPr>
          <w:b/>
          <w:bCs/>
        </w:rPr>
        <w:t>]</w:t>
      </w:r>
      <w:r>
        <w:t xml:space="preserve">, the email was sent to </w:t>
      </w:r>
      <w:hyperlink r:id="rId6" w:history="1">
        <w:r w:rsidRPr="008B3C40">
          <w:rPr>
            <w:rStyle w:val="Hyperlink"/>
            <w:bCs/>
          </w:rPr>
          <w:t>info@juststopoil.org</w:t>
        </w:r>
      </w:hyperlink>
      <w:r>
        <w:rPr>
          <w:rStyle w:val="Hyperlink"/>
          <w:bCs/>
        </w:rPr>
        <w:t>.</w:t>
      </w:r>
    </w:p>
  </w:footnote>
  <w:footnote w:id="7">
    <w:p w14:paraId="7A60098A" w14:textId="5FDDEC37" w:rsidR="005D0627" w:rsidRPr="005D0627" w:rsidRDefault="005D0627">
      <w:pPr>
        <w:pStyle w:val="FootnoteText"/>
        <w:rPr>
          <w:lang w:val="en-GB"/>
        </w:rPr>
      </w:pPr>
      <w:r>
        <w:rPr>
          <w:rStyle w:val="FootnoteReference"/>
        </w:rPr>
        <w:footnoteRef/>
      </w:r>
      <w:r>
        <w:t xml:space="preserve"> </w:t>
      </w:r>
      <w:r>
        <w:rPr>
          <w:lang w:val="en-GB"/>
        </w:rPr>
        <w:t xml:space="preserve">This </w:t>
      </w:r>
      <w:r w:rsidR="00B23801">
        <w:rPr>
          <w:lang w:val="en-GB"/>
        </w:rPr>
        <w:t xml:space="preserve">provision, where it applies, </w:t>
      </w:r>
      <w:r>
        <w:rPr>
          <w:lang w:val="en-GB"/>
        </w:rPr>
        <w:t>requires the Court to be satisfied that “</w:t>
      </w:r>
      <w:r w:rsidRPr="00B23801">
        <w:rPr>
          <w:i/>
          <w:iCs/>
          <w:lang w:val="en-GB"/>
        </w:rPr>
        <w:t>the applicant has taken all practicable steps to notify the respondent</w:t>
      </w:r>
      <w:r>
        <w:rPr>
          <w:lang w:val="en-GB"/>
        </w:rPr>
        <w:t xml:space="preserve">” </w:t>
      </w:r>
      <w:r w:rsidR="00B23801">
        <w:rPr>
          <w:lang w:val="en-GB"/>
        </w:rPr>
        <w:t>if</w:t>
      </w:r>
      <w:r>
        <w:rPr>
          <w:lang w:val="en-GB"/>
        </w:rPr>
        <w:t xml:space="preserve"> the </w:t>
      </w:r>
      <w:r w:rsidR="00B23801">
        <w:rPr>
          <w:lang w:val="en-GB"/>
        </w:rPr>
        <w:t xml:space="preserve">respondent is neither present nor represented. </w:t>
      </w:r>
    </w:p>
  </w:footnote>
  <w:footnote w:id="8">
    <w:p w14:paraId="45777CEA" w14:textId="1AA61C9D" w:rsidR="00B23801" w:rsidRPr="00B23801" w:rsidRDefault="00B23801">
      <w:pPr>
        <w:pStyle w:val="FootnoteText"/>
        <w:rPr>
          <w:lang w:val="en-GB"/>
        </w:rPr>
      </w:pPr>
      <w:r>
        <w:rPr>
          <w:rStyle w:val="FootnoteReference"/>
        </w:rPr>
        <w:footnoteRef/>
      </w:r>
      <w:r>
        <w:t xml:space="preserve"> </w:t>
      </w:r>
      <w:r w:rsidR="00C12B2E">
        <w:rPr>
          <w:lang w:val="en-GB"/>
        </w:rPr>
        <w:t xml:space="preserve">This provision requires the respondent to be given at least 14 days’ notice of the date fixed for hearing and the issues which it is proposed the court will decide. </w:t>
      </w:r>
    </w:p>
  </w:footnote>
  <w:footnote w:id="9">
    <w:p w14:paraId="0FEF7FA8" w14:textId="62D44499" w:rsidR="00DE2576" w:rsidRPr="003B4A73" w:rsidRDefault="00DE2576">
      <w:pPr>
        <w:pStyle w:val="FootnoteText"/>
        <w:rPr>
          <w:lang w:val="en-GB"/>
        </w:rPr>
      </w:pPr>
      <w:r>
        <w:rPr>
          <w:rStyle w:val="FootnoteReference"/>
        </w:rPr>
        <w:footnoteRef/>
      </w:r>
      <w:r>
        <w:t xml:space="preserve"> </w:t>
      </w:r>
      <w:r w:rsidR="003B4A73">
        <w:t xml:space="preserve">The transcript of the hearing can be found at </w:t>
      </w:r>
      <w:r w:rsidR="003B4A73">
        <w:rPr>
          <w:b/>
          <w:bCs/>
        </w:rPr>
        <w:t>[</w:t>
      </w:r>
      <w:r w:rsidR="005737F9">
        <w:rPr>
          <w:b/>
          <w:bCs/>
        </w:rPr>
        <w:t>HB/</w:t>
      </w:r>
      <w:r w:rsidR="009B6566">
        <w:rPr>
          <w:b/>
          <w:bCs/>
        </w:rPr>
        <w:t>355</w:t>
      </w:r>
      <w:r w:rsidR="003B4A73">
        <w:rPr>
          <w:b/>
          <w:bCs/>
        </w:rPr>
        <w:t>]</w:t>
      </w:r>
      <w:r w:rsidR="003B4A73">
        <w:t xml:space="preserve">. </w:t>
      </w:r>
      <w:r>
        <w:t>There is currently no transcript of the judgment available but</w:t>
      </w:r>
      <w:r w:rsidR="00981F1D">
        <w:t xml:space="preserve"> the Claimants’ note of the judgment is available if that would assist the Court. </w:t>
      </w:r>
      <w:r>
        <w:t xml:space="preserve"> </w:t>
      </w:r>
    </w:p>
  </w:footnote>
  <w:footnote w:id="10">
    <w:p w14:paraId="2059C432" w14:textId="19EA80C1" w:rsidR="0098784E" w:rsidRPr="00B65BB5" w:rsidRDefault="0098784E">
      <w:pPr>
        <w:pStyle w:val="FootnoteText"/>
        <w:rPr>
          <w:lang w:val="en-GB"/>
        </w:rPr>
      </w:pPr>
      <w:r>
        <w:rPr>
          <w:rStyle w:val="FootnoteReference"/>
        </w:rPr>
        <w:footnoteRef/>
      </w:r>
      <w:r>
        <w:t xml:space="preserve"> </w:t>
      </w:r>
      <w:r>
        <w:rPr>
          <w:lang w:val="en-GB"/>
        </w:rPr>
        <w:t xml:space="preserve">See comments of Linden J in July 2023 to the same effect in </w:t>
      </w:r>
      <w:r>
        <w:rPr>
          <w:i/>
          <w:iCs/>
          <w:lang w:val="en-GB"/>
        </w:rPr>
        <w:t xml:space="preserve">Esso Petroleum </w:t>
      </w:r>
      <w:r>
        <w:rPr>
          <w:lang w:val="en-GB"/>
        </w:rPr>
        <w:t xml:space="preserve">at </w:t>
      </w:r>
      <w:r>
        <w:rPr>
          <w:bCs/>
        </w:rPr>
        <w:t>§</w:t>
      </w:r>
      <w:r w:rsidR="00AC1C9A">
        <w:rPr>
          <w:bCs/>
        </w:rPr>
        <w:t>§</w:t>
      </w:r>
      <w:r>
        <w:rPr>
          <w:bCs/>
        </w:rPr>
        <w:t>54-55</w:t>
      </w:r>
      <w:r w:rsidR="00584570">
        <w:rPr>
          <w:bCs/>
        </w:rPr>
        <w:t xml:space="preserve"> </w:t>
      </w:r>
      <w:r w:rsidR="00584570" w:rsidRPr="00584570">
        <w:rPr>
          <w:b/>
        </w:rPr>
        <w:t>[AB/</w:t>
      </w:r>
      <w:r w:rsidR="00AA6C33">
        <w:rPr>
          <w:b/>
        </w:rPr>
        <w:t>460</w:t>
      </w:r>
      <w:r w:rsidR="00584570" w:rsidRPr="00584570">
        <w:rPr>
          <w:b/>
        </w:rPr>
        <w:t>]</w:t>
      </w:r>
      <w:r>
        <w:rPr>
          <w:b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7F1"/>
    <w:multiLevelType w:val="multilevel"/>
    <w:tmpl w:val="388A7CD8"/>
    <w:lvl w:ilvl="0">
      <w:start w:val="8"/>
      <w:numFmt w:val="decimal"/>
      <w:lvlText w:val="%1"/>
      <w:lvlJc w:val="left"/>
      <w:pPr>
        <w:ind w:left="840" w:hanging="720"/>
      </w:pPr>
      <w:rPr>
        <w:rFonts w:hint="default"/>
        <w:lang w:val="en-US" w:eastAsia="en-US" w:bidi="ar-SA"/>
      </w:rPr>
    </w:lvl>
    <w:lvl w:ilvl="1">
      <w:start w:val="1"/>
      <w:numFmt w:val="decimal"/>
      <w:lvlText w:val="%1.%2"/>
      <w:lvlJc w:val="left"/>
      <w:pPr>
        <w:ind w:left="840" w:hanging="72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560"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272" w:hanging="720"/>
      </w:pPr>
      <w:rPr>
        <w:rFonts w:hint="default"/>
        <w:lang w:val="en-US" w:eastAsia="en-US" w:bidi="ar-SA"/>
      </w:rPr>
    </w:lvl>
    <w:lvl w:ilvl="4">
      <w:numFmt w:val="bullet"/>
      <w:lvlText w:val="•"/>
      <w:lvlJc w:val="left"/>
      <w:pPr>
        <w:ind w:left="4128" w:hanging="720"/>
      </w:pPr>
      <w:rPr>
        <w:rFonts w:hint="default"/>
        <w:lang w:val="en-US" w:eastAsia="en-US" w:bidi="ar-SA"/>
      </w:rPr>
    </w:lvl>
    <w:lvl w:ilvl="5">
      <w:numFmt w:val="bullet"/>
      <w:lvlText w:val="•"/>
      <w:lvlJc w:val="left"/>
      <w:pPr>
        <w:ind w:left="4985" w:hanging="720"/>
      </w:pPr>
      <w:rPr>
        <w:rFonts w:hint="default"/>
        <w:lang w:val="en-US" w:eastAsia="en-US" w:bidi="ar-SA"/>
      </w:rPr>
    </w:lvl>
    <w:lvl w:ilvl="6">
      <w:numFmt w:val="bullet"/>
      <w:lvlText w:val="•"/>
      <w:lvlJc w:val="left"/>
      <w:pPr>
        <w:ind w:left="5841" w:hanging="720"/>
      </w:pPr>
      <w:rPr>
        <w:rFonts w:hint="default"/>
        <w:lang w:val="en-US" w:eastAsia="en-US" w:bidi="ar-SA"/>
      </w:rPr>
    </w:lvl>
    <w:lvl w:ilvl="7">
      <w:numFmt w:val="bullet"/>
      <w:lvlText w:val="•"/>
      <w:lvlJc w:val="left"/>
      <w:pPr>
        <w:ind w:left="6697" w:hanging="720"/>
      </w:pPr>
      <w:rPr>
        <w:rFonts w:hint="default"/>
        <w:lang w:val="en-US" w:eastAsia="en-US" w:bidi="ar-SA"/>
      </w:rPr>
    </w:lvl>
    <w:lvl w:ilvl="8">
      <w:numFmt w:val="bullet"/>
      <w:lvlText w:val="•"/>
      <w:lvlJc w:val="left"/>
      <w:pPr>
        <w:ind w:left="7553" w:hanging="720"/>
      </w:pPr>
      <w:rPr>
        <w:rFonts w:hint="default"/>
        <w:lang w:val="en-US" w:eastAsia="en-US" w:bidi="ar-SA"/>
      </w:rPr>
    </w:lvl>
  </w:abstractNum>
  <w:abstractNum w:abstractNumId="1" w15:restartNumberingAfterBreak="0">
    <w:nsid w:val="03284155"/>
    <w:multiLevelType w:val="hybridMultilevel"/>
    <w:tmpl w:val="FC0AD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17874"/>
    <w:multiLevelType w:val="multilevel"/>
    <w:tmpl w:val="B2A8674A"/>
    <w:lvl w:ilvl="0">
      <w:start w:val="11"/>
      <w:numFmt w:val="decimal"/>
      <w:lvlText w:val="%1"/>
      <w:lvlJc w:val="left"/>
      <w:pPr>
        <w:ind w:left="840" w:hanging="720"/>
      </w:pPr>
      <w:rPr>
        <w:rFonts w:hint="default"/>
        <w:lang w:val="en-US" w:eastAsia="en-US" w:bidi="ar-SA"/>
      </w:rPr>
    </w:lvl>
    <w:lvl w:ilvl="1">
      <w:start w:val="1"/>
      <w:numFmt w:val="decimal"/>
      <w:lvlText w:val="%1.%2"/>
      <w:lvlJc w:val="left"/>
      <w:pPr>
        <w:ind w:left="84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525" w:hanging="720"/>
      </w:pPr>
      <w:rPr>
        <w:rFonts w:hint="default"/>
        <w:lang w:val="en-US" w:eastAsia="en-US" w:bidi="ar-SA"/>
      </w:rPr>
    </w:lvl>
    <w:lvl w:ilvl="3">
      <w:numFmt w:val="bullet"/>
      <w:lvlText w:val="•"/>
      <w:lvlJc w:val="left"/>
      <w:pPr>
        <w:ind w:left="3367" w:hanging="720"/>
      </w:pPr>
      <w:rPr>
        <w:rFonts w:hint="default"/>
        <w:lang w:val="en-US" w:eastAsia="en-US" w:bidi="ar-SA"/>
      </w:rPr>
    </w:lvl>
    <w:lvl w:ilvl="4">
      <w:numFmt w:val="bullet"/>
      <w:lvlText w:val="•"/>
      <w:lvlJc w:val="left"/>
      <w:pPr>
        <w:ind w:left="4210" w:hanging="720"/>
      </w:pPr>
      <w:rPr>
        <w:rFonts w:hint="default"/>
        <w:lang w:val="en-US" w:eastAsia="en-US" w:bidi="ar-SA"/>
      </w:rPr>
    </w:lvl>
    <w:lvl w:ilvl="5">
      <w:numFmt w:val="bullet"/>
      <w:lvlText w:val="•"/>
      <w:lvlJc w:val="left"/>
      <w:pPr>
        <w:ind w:left="5053" w:hanging="720"/>
      </w:pPr>
      <w:rPr>
        <w:rFonts w:hint="default"/>
        <w:lang w:val="en-US" w:eastAsia="en-US" w:bidi="ar-SA"/>
      </w:rPr>
    </w:lvl>
    <w:lvl w:ilvl="6">
      <w:numFmt w:val="bullet"/>
      <w:lvlText w:val="•"/>
      <w:lvlJc w:val="left"/>
      <w:pPr>
        <w:ind w:left="5895" w:hanging="720"/>
      </w:pPr>
      <w:rPr>
        <w:rFonts w:hint="default"/>
        <w:lang w:val="en-US" w:eastAsia="en-US" w:bidi="ar-SA"/>
      </w:rPr>
    </w:lvl>
    <w:lvl w:ilvl="7">
      <w:numFmt w:val="bullet"/>
      <w:lvlText w:val="•"/>
      <w:lvlJc w:val="left"/>
      <w:pPr>
        <w:ind w:left="6738" w:hanging="720"/>
      </w:pPr>
      <w:rPr>
        <w:rFonts w:hint="default"/>
        <w:lang w:val="en-US" w:eastAsia="en-US" w:bidi="ar-SA"/>
      </w:rPr>
    </w:lvl>
    <w:lvl w:ilvl="8">
      <w:numFmt w:val="bullet"/>
      <w:lvlText w:val="•"/>
      <w:lvlJc w:val="left"/>
      <w:pPr>
        <w:ind w:left="7581" w:hanging="720"/>
      </w:pPr>
      <w:rPr>
        <w:rFonts w:hint="default"/>
        <w:lang w:val="en-US" w:eastAsia="en-US" w:bidi="ar-SA"/>
      </w:rPr>
    </w:lvl>
  </w:abstractNum>
  <w:abstractNum w:abstractNumId="3" w15:restartNumberingAfterBreak="0">
    <w:nsid w:val="0D0660F6"/>
    <w:multiLevelType w:val="multilevel"/>
    <w:tmpl w:val="00A065E0"/>
    <w:lvl w:ilvl="0">
      <w:start w:val="13"/>
      <w:numFmt w:val="decimal"/>
      <w:lvlText w:val="%1"/>
      <w:lvlJc w:val="left"/>
      <w:pPr>
        <w:ind w:left="840" w:hanging="720"/>
      </w:pPr>
      <w:rPr>
        <w:rFonts w:hint="default"/>
        <w:lang w:val="en-US" w:eastAsia="en-US" w:bidi="ar-SA"/>
      </w:rPr>
    </w:lvl>
    <w:lvl w:ilvl="1">
      <w:start w:val="1"/>
      <w:numFmt w:val="decimal"/>
      <w:lvlText w:val="%1.%2"/>
      <w:lvlJc w:val="left"/>
      <w:pPr>
        <w:ind w:left="84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525" w:hanging="720"/>
      </w:pPr>
      <w:rPr>
        <w:rFonts w:hint="default"/>
        <w:lang w:val="en-US" w:eastAsia="en-US" w:bidi="ar-SA"/>
      </w:rPr>
    </w:lvl>
    <w:lvl w:ilvl="3">
      <w:numFmt w:val="bullet"/>
      <w:lvlText w:val="•"/>
      <w:lvlJc w:val="left"/>
      <w:pPr>
        <w:ind w:left="3367" w:hanging="720"/>
      </w:pPr>
      <w:rPr>
        <w:rFonts w:hint="default"/>
        <w:lang w:val="en-US" w:eastAsia="en-US" w:bidi="ar-SA"/>
      </w:rPr>
    </w:lvl>
    <w:lvl w:ilvl="4">
      <w:numFmt w:val="bullet"/>
      <w:lvlText w:val="•"/>
      <w:lvlJc w:val="left"/>
      <w:pPr>
        <w:ind w:left="4210" w:hanging="720"/>
      </w:pPr>
      <w:rPr>
        <w:rFonts w:hint="default"/>
        <w:lang w:val="en-US" w:eastAsia="en-US" w:bidi="ar-SA"/>
      </w:rPr>
    </w:lvl>
    <w:lvl w:ilvl="5">
      <w:numFmt w:val="bullet"/>
      <w:lvlText w:val="•"/>
      <w:lvlJc w:val="left"/>
      <w:pPr>
        <w:ind w:left="5053" w:hanging="720"/>
      </w:pPr>
      <w:rPr>
        <w:rFonts w:hint="default"/>
        <w:lang w:val="en-US" w:eastAsia="en-US" w:bidi="ar-SA"/>
      </w:rPr>
    </w:lvl>
    <w:lvl w:ilvl="6">
      <w:numFmt w:val="bullet"/>
      <w:lvlText w:val="•"/>
      <w:lvlJc w:val="left"/>
      <w:pPr>
        <w:ind w:left="5895" w:hanging="720"/>
      </w:pPr>
      <w:rPr>
        <w:rFonts w:hint="default"/>
        <w:lang w:val="en-US" w:eastAsia="en-US" w:bidi="ar-SA"/>
      </w:rPr>
    </w:lvl>
    <w:lvl w:ilvl="7">
      <w:numFmt w:val="bullet"/>
      <w:lvlText w:val="•"/>
      <w:lvlJc w:val="left"/>
      <w:pPr>
        <w:ind w:left="6738" w:hanging="720"/>
      </w:pPr>
      <w:rPr>
        <w:rFonts w:hint="default"/>
        <w:lang w:val="en-US" w:eastAsia="en-US" w:bidi="ar-SA"/>
      </w:rPr>
    </w:lvl>
    <w:lvl w:ilvl="8">
      <w:numFmt w:val="bullet"/>
      <w:lvlText w:val="•"/>
      <w:lvlJc w:val="left"/>
      <w:pPr>
        <w:ind w:left="7581" w:hanging="720"/>
      </w:pPr>
      <w:rPr>
        <w:rFonts w:hint="default"/>
        <w:lang w:val="en-US" w:eastAsia="en-US" w:bidi="ar-SA"/>
      </w:rPr>
    </w:lvl>
  </w:abstractNum>
  <w:abstractNum w:abstractNumId="4" w15:restartNumberingAfterBreak="0">
    <w:nsid w:val="106653B0"/>
    <w:multiLevelType w:val="multilevel"/>
    <w:tmpl w:val="8DAC680E"/>
    <w:lvl w:ilvl="0">
      <w:start w:val="6"/>
      <w:numFmt w:val="decimal"/>
      <w:lvlText w:val="%1"/>
      <w:lvlJc w:val="left"/>
      <w:pPr>
        <w:ind w:left="840" w:hanging="720"/>
      </w:pPr>
      <w:rPr>
        <w:rFonts w:hint="default"/>
        <w:lang w:val="en-US" w:eastAsia="en-US" w:bidi="ar-SA"/>
      </w:rPr>
    </w:lvl>
    <w:lvl w:ilvl="1">
      <w:start w:val="1"/>
      <w:numFmt w:val="decimal"/>
      <w:lvlText w:val="%1.%2"/>
      <w:lvlJc w:val="left"/>
      <w:pPr>
        <w:ind w:left="84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525" w:hanging="720"/>
      </w:pPr>
      <w:rPr>
        <w:rFonts w:hint="default"/>
        <w:lang w:val="en-US" w:eastAsia="en-US" w:bidi="ar-SA"/>
      </w:rPr>
    </w:lvl>
    <w:lvl w:ilvl="3">
      <w:numFmt w:val="bullet"/>
      <w:lvlText w:val="•"/>
      <w:lvlJc w:val="left"/>
      <w:pPr>
        <w:ind w:left="3367" w:hanging="720"/>
      </w:pPr>
      <w:rPr>
        <w:rFonts w:hint="default"/>
        <w:lang w:val="en-US" w:eastAsia="en-US" w:bidi="ar-SA"/>
      </w:rPr>
    </w:lvl>
    <w:lvl w:ilvl="4">
      <w:numFmt w:val="bullet"/>
      <w:lvlText w:val="•"/>
      <w:lvlJc w:val="left"/>
      <w:pPr>
        <w:ind w:left="4210" w:hanging="720"/>
      </w:pPr>
      <w:rPr>
        <w:rFonts w:hint="default"/>
        <w:lang w:val="en-US" w:eastAsia="en-US" w:bidi="ar-SA"/>
      </w:rPr>
    </w:lvl>
    <w:lvl w:ilvl="5">
      <w:numFmt w:val="bullet"/>
      <w:lvlText w:val="•"/>
      <w:lvlJc w:val="left"/>
      <w:pPr>
        <w:ind w:left="5053" w:hanging="720"/>
      </w:pPr>
      <w:rPr>
        <w:rFonts w:hint="default"/>
        <w:lang w:val="en-US" w:eastAsia="en-US" w:bidi="ar-SA"/>
      </w:rPr>
    </w:lvl>
    <w:lvl w:ilvl="6">
      <w:numFmt w:val="bullet"/>
      <w:lvlText w:val="•"/>
      <w:lvlJc w:val="left"/>
      <w:pPr>
        <w:ind w:left="5895" w:hanging="720"/>
      </w:pPr>
      <w:rPr>
        <w:rFonts w:hint="default"/>
        <w:lang w:val="en-US" w:eastAsia="en-US" w:bidi="ar-SA"/>
      </w:rPr>
    </w:lvl>
    <w:lvl w:ilvl="7">
      <w:numFmt w:val="bullet"/>
      <w:lvlText w:val="•"/>
      <w:lvlJc w:val="left"/>
      <w:pPr>
        <w:ind w:left="6738" w:hanging="720"/>
      </w:pPr>
      <w:rPr>
        <w:rFonts w:hint="default"/>
        <w:lang w:val="en-US" w:eastAsia="en-US" w:bidi="ar-SA"/>
      </w:rPr>
    </w:lvl>
    <w:lvl w:ilvl="8">
      <w:numFmt w:val="bullet"/>
      <w:lvlText w:val="•"/>
      <w:lvlJc w:val="left"/>
      <w:pPr>
        <w:ind w:left="7581" w:hanging="720"/>
      </w:pPr>
      <w:rPr>
        <w:rFonts w:hint="default"/>
        <w:lang w:val="en-US" w:eastAsia="en-US" w:bidi="ar-SA"/>
      </w:rPr>
    </w:lvl>
  </w:abstractNum>
  <w:abstractNum w:abstractNumId="5" w15:restartNumberingAfterBreak="0">
    <w:nsid w:val="16364917"/>
    <w:multiLevelType w:val="multilevel"/>
    <w:tmpl w:val="6B925D94"/>
    <w:lvl w:ilvl="0">
      <w:start w:val="9"/>
      <w:numFmt w:val="decimal"/>
      <w:lvlText w:val="%1"/>
      <w:lvlJc w:val="left"/>
      <w:pPr>
        <w:ind w:left="1560" w:hanging="720"/>
      </w:pPr>
      <w:rPr>
        <w:rFonts w:hint="default"/>
        <w:lang w:val="en-US" w:eastAsia="en-US" w:bidi="ar-SA"/>
      </w:rPr>
    </w:lvl>
    <w:lvl w:ilvl="1">
      <w:start w:val="1"/>
      <w:numFmt w:val="decimal"/>
      <w:lvlText w:val="%1.%2"/>
      <w:lvlJc w:val="left"/>
      <w:pPr>
        <w:ind w:left="1560" w:hanging="720"/>
      </w:pPr>
      <w:rPr>
        <w:rFonts w:ascii="Times New Roman" w:eastAsia="Times New Roman" w:hAnsi="Times New Roman" w:cs="Times New Roman" w:hint="default"/>
        <w:b w:val="0"/>
        <w:bCs w:val="0"/>
        <w:i w:val="0"/>
        <w:iCs w:val="0"/>
        <w:w w:val="100"/>
        <w:sz w:val="24"/>
        <w:szCs w:val="24"/>
        <w:lang w:val="en-US" w:eastAsia="en-US" w:bidi="ar-SA"/>
      </w:rPr>
    </w:lvl>
    <w:lvl w:ilvl="2">
      <w:start w:val="2"/>
      <w:numFmt w:val="decimal"/>
      <w:lvlText w:val="(%3)"/>
      <w:lvlJc w:val="left"/>
      <w:pPr>
        <w:ind w:left="30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Letter"/>
      <w:lvlText w:val="(%4)"/>
      <w:lvlJc w:val="left"/>
      <w:pPr>
        <w:ind w:left="37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5106" w:hanging="720"/>
      </w:pPr>
      <w:rPr>
        <w:rFonts w:hint="default"/>
        <w:lang w:val="en-US" w:eastAsia="en-US" w:bidi="ar-SA"/>
      </w:rPr>
    </w:lvl>
    <w:lvl w:ilvl="5">
      <w:numFmt w:val="bullet"/>
      <w:lvlText w:val="•"/>
      <w:lvlJc w:val="left"/>
      <w:pPr>
        <w:ind w:left="5799" w:hanging="720"/>
      </w:pPr>
      <w:rPr>
        <w:rFonts w:hint="default"/>
        <w:lang w:val="en-US" w:eastAsia="en-US" w:bidi="ar-SA"/>
      </w:rPr>
    </w:lvl>
    <w:lvl w:ilvl="6">
      <w:numFmt w:val="bullet"/>
      <w:lvlText w:val="•"/>
      <w:lvlJc w:val="left"/>
      <w:pPr>
        <w:ind w:left="6493" w:hanging="720"/>
      </w:pPr>
      <w:rPr>
        <w:rFonts w:hint="default"/>
        <w:lang w:val="en-US" w:eastAsia="en-US" w:bidi="ar-SA"/>
      </w:rPr>
    </w:lvl>
    <w:lvl w:ilvl="7">
      <w:numFmt w:val="bullet"/>
      <w:lvlText w:val="•"/>
      <w:lvlJc w:val="left"/>
      <w:pPr>
        <w:ind w:left="7186" w:hanging="720"/>
      </w:pPr>
      <w:rPr>
        <w:rFonts w:hint="default"/>
        <w:lang w:val="en-US" w:eastAsia="en-US" w:bidi="ar-SA"/>
      </w:rPr>
    </w:lvl>
    <w:lvl w:ilvl="8">
      <w:numFmt w:val="bullet"/>
      <w:lvlText w:val="•"/>
      <w:lvlJc w:val="left"/>
      <w:pPr>
        <w:ind w:left="7879" w:hanging="720"/>
      </w:pPr>
      <w:rPr>
        <w:rFonts w:hint="default"/>
        <w:lang w:val="en-US" w:eastAsia="en-US" w:bidi="ar-SA"/>
      </w:rPr>
    </w:lvl>
  </w:abstractNum>
  <w:abstractNum w:abstractNumId="6" w15:restartNumberingAfterBreak="0">
    <w:nsid w:val="1E0C5697"/>
    <w:multiLevelType w:val="multilevel"/>
    <w:tmpl w:val="41C0DD8C"/>
    <w:lvl w:ilvl="0">
      <w:start w:val="1"/>
      <w:numFmt w:val="decimal"/>
      <w:lvlText w:val="%1"/>
      <w:lvlJc w:val="left"/>
      <w:pPr>
        <w:ind w:left="840" w:hanging="720"/>
      </w:pPr>
      <w:rPr>
        <w:rFonts w:hint="default"/>
        <w:lang w:val="en-US" w:eastAsia="en-US" w:bidi="ar-SA"/>
      </w:rPr>
    </w:lvl>
    <w:lvl w:ilvl="1">
      <w:start w:val="1"/>
      <w:numFmt w:val="decimal"/>
      <w:lvlText w:val="%1.%2"/>
      <w:lvlJc w:val="left"/>
      <w:pPr>
        <w:ind w:left="84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560"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272" w:hanging="720"/>
      </w:pPr>
      <w:rPr>
        <w:rFonts w:hint="default"/>
        <w:lang w:val="en-US" w:eastAsia="en-US" w:bidi="ar-SA"/>
      </w:rPr>
    </w:lvl>
    <w:lvl w:ilvl="4">
      <w:numFmt w:val="bullet"/>
      <w:lvlText w:val="•"/>
      <w:lvlJc w:val="left"/>
      <w:pPr>
        <w:ind w:left="4128" w:hanging="720"/>
      </w:pPr>
      <w:rPr>
        <w:rFonts w:hint="default"/>
        <w:lang w:val="en-US" w:eastAsia="en-US" w:bidi="ar-SA"/>
      </w:rPr>
    </w:lvl>
    <w:lvl w:ilvl="5">
      <w:numFmt w:val="bullet"/>
      <w:lvlText w:val="•"/>
      <w:lvlJc w:val="left"/>
      <w:pPr>
        <w:ind w:left="4985" w:hanging="720"/>
      </w:pPr>
      <w:rPr>
        <w:rFonts w:hint="default"/>
        <w:lang w:val="en-US" w:eastAsia="en-US" w:bidi="ar-SA"/>
      </w:rPr>
    </w:lvl>
    <w:lvl w:ilvl="6">
      <w:numFmt w:val="bullet"/>
      <w:lvlText w:val="•"/>
      <w:lvlJc w:val="left"/>
      <w:pPr>
        <w:ind w:left="5841" w:hanging="720"/>
      </w:pPr>
      <w:rPr>
        <w:rFonts w:hint="default"/>
        <w:lang w:val="en-US" w:eastAsia="en-US" w:bidi="ar-SA"/>
      </w:rPr>
    </w:lvl>
    <w:lvl w:ilvl="7">
      <w:numFmt w:val="bullet"/>
      <w:lvlText w:val="•"/>
      <w:lvlJc w:val="left"/>
      <w:pPr>
        <w:ind w:left="6697" w:hanging="720"/>
      </w:pPr>
      <w:rPr>
        <w:rFonts w:hint="default"/>
        <w:lang w:val="en-US" w:eastAsia="en-US" w:bidi="ar-SA"/>
      </w:rPr>
    </w:lvl>
    <w:lvl w:ilvl="8">
      <w:numFmt w:val="bullet"/>
      <w:lvlText w:val="•"/>
      <w:lvlJc w:val="left"/>
      <w:pPr>
        <w:ind w:left="7553" w:hanging="720"/>
      </w:pPr>
      <w:rPr>
        <w:rFonts w:hint="default"/>
        <w:lang w:val="en-US" w:eastAsia="en-US" w:bidi="ar-SA"/>
      </w:rPr>
    </w:lvl>
  </w:abstractNum>
  <w:abstractNum w:abstractNumId="7" w15:restartNumberingAfterBreak="0">
    <w:nsid w:val="211E402A"/>
    <w:multiLevelType w:val="multilevel"/>
    <w:tmpl w:val="84C2A5EE"/>
    <w:lvl w:ilvl="0">
      <w:start w:val="2"/>
      <w:numFmt w:val="decimal"/>
      <w:lvlText w:val="%1"/>
      <w:lvlJc w:val="left"/>
      <w:pPr>
        <w:ind w:left="840" w:hanging="720"/>
      </w:pPr>
      <w:rPr>
        <w:rFonts w:hint="default"/>
        <w:lang w:val="en-US" w:eastAsia="en-US" w:bidi="ar-SA"/>
      </w:rPr>
    </w:lvl>
    <w:lvl w:ilvl="1">
      <w:start w:val="1"/>
      <w:numFmt w:val="decimal"/>
      <w:lvlText w:val="%1.%2"/>
      <w:lvlJc w:val="left"/>
      <w:pPr>
        <w:ind w:left="84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525" w:hanging="720"/>
      </w:pPr>
      <w:rPr>
        <w:rFonts w:hint="default"/>
        <w:lang w:val="en-US" w:eastAsia="en-US" w:bidi="ar-SA"/>
      </w:rPr>
    </w:lvl>
    <w:lvl w:ilvl="3">
      <w:numFmt w:val="bullet"/>
      <w:lvlText w:val="•"/>
      <w:lvlJc w:val="left"/>
      <w:pPr>
        <w:ind w:left="3367" w:hanging="720"/>
      </w:pPr>
      <w:rPr>
        <w:rFonts w:hint="default"/>
        <w:lang w:val="en-US" w:eastAsia="en-US" w:bidi="ar-SA"/>
      </w:rPr>
    </w:lvl>
    <w:lvl w:ilvl="4">
      <w:numFmt w:val="bullet"/>
      <w:lvlText w:val="•"/>
      <w:lvlJc w:val="left"/>
      <w:pPr>
        <w:ind w:left="4210" w:hanging="720"/>
      </w:pPr>
      <w:rPr>
        <w:rFonts w:hint="default"/>
        <w:lang w:val="en-US" w:eastAsia="en-US" w:bidi="ar-SA"/>
      </w:rPr>
    </w:lvl>
    <w:lvl w:ilvl="5">
      <w:numFmt w:val="bullet"/>
      <w:lvlText w:val="•"/>
      <w:lvlJc w:val="left"/>
      <w:pPr>
        <w:ind w:left="5053" w:hanging="720"/>
      </w:pPr>
      <w:rPr>
        <w:rFonts w:hint="default"/>
        <w:lang w:val="en-US" w:eastAsia="en-US" w:bidi="ar-SA"/>
      </w:rPr>
    </w:lvl>
    <w:lvl w:ilvl="6">
      <w:numFmt w:val="bullet"/>
      <w:lvlText w:val="•"/>
      <w:lvlJc w:val="left"/>
      <w:pPr>
        <w:ind w:left="5895" w:hanging="720"/>
      </w:pPr>
      <w:rPr>
        <w:rFonts w:hint="default"/>
        <w:lang w:val="en-US" w:eastAsia="en-US" w:bidi="ar-SA"/>
      </w:rPr>
    </w:lvl>
    <w:lvl w:ilvl="7">
      <w:numFmt w:val="bullet"/>
      <w:lvlText w:val="•"/>
      <w:lvlJc w:val="left"/>
      <w:pPr>
        <w:ind w:left="6738" w:hanging="720"/>
      </w:pPr>
      <w:rPr>
        <w:rFonts w:hint="default"/>
        <w:lang w:val="en-US" w:eastAsia="en-US" w:bidi="ar-SA"/>
      </w:rPr>
    </w:lvl>
    <w:lvl w:ilvl="8">
      <w:numFmt w:val="bullet"/>
      <w:lvlText w:val="•"/>
      <w:lvlJc w:val="left"/>
      <w:pPr>
        <w:ind w:left="7581" w:hanging="720"/>
      </w:pPr>
      <w:rPr>
        <w:rFonts w:hint="default"/>
        <w:lang w:val="en-US" w:eastAsia="en-US" w:bidi="ar-SA"/>
      </w:rPr>
    </w:lvl>
  </w:abstractNum>
  <w:abstractNum w:abstractNumId="8" w15:restartNumberingAfterBreak="0">
    <w:nsid w:val="24EC2BE9"/>
    <w:multiLevelType w:val="hybridMultilevel"/>
    <w:tmpl w:val="B0DC5E3C"/>
    <w:lvl w:ilvl="0" w:tplc="AC1E6560">
      <w:start w:val="2"/>
      <w:numFmt w:val="decimal"/>
      <w:lvlText w:val="(%1)"/>
      <w:lvlJc w:val="left"/>
      <w:pPr>
        <w:ind w:left="2404" w:hanging="360"/>
      </w:pPr>
      <w:rPr>
        <w:rFonts w:ascii="Times New Roman" w:eastAsia="Times New Roman" w:hAnsi="Times New Roman" w:cs="Times New Roman" w:hint="default"/>
        <w:b w:val="0"/>
        <w:bCs w:val="0"/>
        <w:i/>
        <w:iCs/>
        <w:spacing w:val="-1"/>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62DFA"/>
    <w:multiLevelType w:val="multilevel"/>
    <w:tmpl w:val="24F08C8E"/>
    <w:lvl w:ilvl="0">
      <w:start w:val="5"/>
      <w:numFmt w:val="decimal"/>
      <w:lvlText w:val="%1"/>
      <w:lvlJc w:val="left"/>
      <w:pPr>
        <w:ind w:left="840" w:hanging="720"/>
      </w:pPr>
      <w:rPr>
        <w:rFonts w:hint="default"/>
        <w:lang w:val="en-US" w:eastAsia="en-US" w:bidi="ar-SA"/>
      </w:rPr>
    </w:lvl>
    <w:lvl w:ilvl="1">
      <w:start w:val="1"/>
      <w:numFmt w:val="decimal"/>
      <w:lvlText w:val="%1.%2"/>
      <w:lvlJc w:val="left"/>
      <w:pPr>
        <w:ind w:left="84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525" w:hanging="720"/>
      </w:pPr>
      <w:rPr>
        <w:rFonts w:hint="default"/>
        <w:lang w:val="en-US" w:eastAsia="en-US" w:bidi="ar-SA"/>
      </w:rPr>
    </w:lvl>
    <w:lvl w:ilvl="3">
      <w:numFmt w:val="bullet"/>
      <w:lvlText w:val="•"/>
      <w:lvlJc w:val="left"/>
      <w:pPr>
        <w:ind w:left="3367" w:hanging="720"/>
      </w:pPr>
      <w:rPr>
        <w:rFonts w:hint="default"/>
        <w:lang w:val="en-US" w:eastAsia="en-US" w:bidi="ar-SA"/>
      </w:rPr>
    </w:lvl>
    <w:lvl w:ilvl="4">
      <w:numFmt w:val="bullet"/>
      <w:lvlText w:val="•"/>
      <w:lvlJc w:val="left"/>
      <w:pPr>
        <w:ind w:left="4210" w:hanging="720"/>
      </w:pPr>
      <w:rPr>
        <w:rFonts w:hint="default"/>
        <w:lang w:val="en-US" w:eastAsia="en-US" w:bidi="ar-SA"/>
      </w:rPr>
    </w:lvl>
    <w:lvl w:ilvl="5">
      <w:numFmt w:val="bullet"/>
      <w:lvlText w:val="•"/>
      <w:lvlJc w:val="left"/>
      <w:pPr>
        <w:ind w:left="5053" w:hanging="720"/>
      </w:pPr>
      <w:rPr>
        <w:rFonts w:hint="default"/>
        <w:lang w:val="en-US" w:eastAsia="en-US" w:bidi="ar-SA"/>
      </w:rPr>
    </w:lvl>
    <w:lvl w:ilvl="6">
      <w:numFmt w:val="bullet"/>
      <w:lvlText w:val="•"/>
      <w:lvlJc w:val="left"/>
      <w:pPr>
        <w:ind w:left="5895" w:hanging="720"/>
      </w:pPr>
      <w:rPr>
        <w:rFonts w:hint="default"/>
        <w:lang w:val="en-US" w:eastAsia="en-US" w:bidi="ar-SA"/>
      </w:rPr>
    </w:lvl>
    <w:lvl w:ilvl="7">
      <w:numFmt w:val="bullet"/>
      <w:lvlText w:val="•"/>
      <w:lvlJc w:val="left"/>
      <w:pPr>
        <w:ind w:left="6738" w:hanging="720"/>
      </w:pPr>
      <w:rPr>
        <w:rFonts w:hint="default"/>
        <w:lang w:val="en-US" w:eastAsia="en-US" w:bidi="ar-SA"/>
      </w:rPr>
    </w:lvl>
    <w:lvl w:ilvl="8">
      <w:numFmt w:val="bullet"/>
      <w:lvlText w:val="•"/>
      <w:lvlJc w:val="left"/>
      <w:pPr>
        <w:ind w:left="7581" w:hanging="720"/>
      </w:pPr>
      <w:rPr>
        <w:rFonts w:hint="default"/>
        <w:lang w:val="en-US" w:eastAsia="en-US" w:bidi="ar-SA"/>
      </w:rPr>
    </w:lvl>
  </w:abstractNum>
  <w:abstractNum w:abstractNumId="10" w15:restartNumberingAfterBreak="0">
    <w:nsid w:val="2BED6ED1"/>
    <w:multiLevelType w:val="hybridMultilevel"/>
    <w:tmpl w:val="6540BAD8"/>
    <w:lvl w:ilvl="0" w:tplc="0809001B">
      <w:start w:val="1"/>
      <w:numFmt w:val="lowerRoman"/>
      <w:lvlText w:val="%1."/>
      <w:lvlJc w:val="righ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C8C1363"/>
    <w:multiLevelType w:val="hybridMultilevel"/>
    <w:tmpl w:val="8D3CC7B6"/>
    <w:lvl w:ilvl="0" w:tplc="F18296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FC78F2"/>
    <w:multiLevelType w:val="hybridMultilevel"/>
    <w:tmpl w:val="42447AA6"/>
    <w:lvl w:ilvl="0" w:tplc="62A00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C439C"/>
    <w:multiLevelType w:val="hybridMultilevel"/>
    <w:tmpl w:val="DF382942"/>
    <w:lvl w:ilvl="0" w:tplc="40D81F1A">
      <w:start w:val="1"/>
      <w:numFmt w:val="decimal"/>
      <w:lvlText w:val="(%1)"/>
      <w:lvlJc w:val="left"/>
      <w:pPr>
        <w:ind w:left="710" w:hanging="720"/>
        <w:jc w:val="right"/>
      </w:pPr>
      <w:rPr>
        <w:rFonts w:ascii="Times New Roman" w:eastAsia="Times New Roman" w:hAnsi="Times New Roman" w:cs="Times New Roman" w:hint="default"/>
        <w:b/>
        <w:bCs/>
        <w:i w:val="0"/>
        <w:iCs w:val="0"/>
        <w:spacing w:val="-1"/>
        <w:w w:val="100"/>
        <w:sz w:val="24"/>
        <w:szCs w:val="24"/>
        <w:lang w:val="en-US" w:eastAsia="en-US" w:bidi="ar-SA"/>
      </w:rPr>
    </w:lvl>
    <w:lvl w:ilvl="1" w:tplc="7250C730">
      <w:numFmt w:val="bullet"/>
      <w:lvlText w:val="•"/>
      <w:lvlJc w:val="left"/>
      <w:pPr>
        <w:ind w:left="1574" w:hanging="720"/>
      </w:pPr>
      <w:rPr>
        <w:rFonts w:hint="default"/>
        <w:lang w:val="en-US" w:eastAsia="en-US" w:bidi="ar-SA"/>
      </w:rPr>
    </w:lvl>
    <w:lvl w:ilvl="2" w:tplc="1DE4F8D0">
      <w:numFmt w:val="bullet"/>
      <w:lvlText w:val="•"/>
      <w:lvlJc w:val="left"/>
      <w:pPr>
        <w:ind w:left="2429" w:hanging="720"/>
      </w:pPr>
      <w:rPr>
        <w:rFonts w:hint="default"/>
        <w:lang w:val="en-US" w:eastAsia="en-US" w:bidi="ar-SA"/>
      </w:rPr>
    </w:lvl>
    <w:lvl w:ilvl="3" w:tplc="F66C42B4">
      <w:numFmt w:val="bullet"/>
      <w:lvlText w:val="•"/>
      <w:lvlJc w:val="left"/>
      <w:pPr>
        <w:ind w:left="3283" w:hanging="720"/>
      </w:pPr>
      <w:rPr>
        <w:rFonts w:hint="default"/>
        <w:lang w:val="en-US" w:eastAsia="en-US" w:bidi="ar-SA"/>
      </w:rPr>
    </w:lvl>
    <w:lvl w:ilvl="4" w:tplc="42B6A7A2">
      <w:numFmt w:val="bullet"/>
      <w:lvlText w:val="•"/>
      <w:lvlJc w:val="left"/>
      <w:pPr>
        <w:ind w:left="4138" w:hanging="720"/>
      </w:pPr>
      <w:rPr>
        <w:rFonts w:hint="default"/>
        <w:lang w:val="en-US" w:eastAsia="en-US" w:bidi="ar-SA"/>
      </w:rPr>
    </w:lvl>
    <w:lvl w:ilvl="5" w:tplc="73C6D7F6">
      <w:numFmt w:val="bullet"/>
      <w:lvlText w:val="•"/>
      <w:lvlJc w:val="left"/>
      <w:pPr>
        <w:ind w:left="4993" w:hanging="720"/>
      </w:pPr>
      <w:rPr>
        <w:rFonts w:hint="default"/>
        <w:lang w:val="en-US" w:eastAsia="en-US" w:bidi="ar-SA"/>
      </w:rPr>
    </w:lvl>
    <w:lvl w:ilvl="6" w:tplc="A344020A">
      <w:numFmt w:val="bullet"/>
      <w:lvlText w:val="•"/>
      <w:lvlJc w:val="left"/>
      <w:pPr>
        <w:ind w:left="5847" w:hanging="720"/>
      </w:pPr>
      <w:rPr>
        <w:rFonts w:hint="default"/>
        <w:lang w:val="en-US" w:eastAsia="en-US" w:bidi="ar-SA"/>
      </w:rPr>
    </w:lvl>
    <w:lvl w:ilvl="7" w:tplc="8140DFF6">
      <w:numFmt w:val="bullet"/>
      <w:lvlText w:val="•"/>
      <w:lvlJc w:val="left"/>
      <w:pPr>
        <w:ind w:left="6702" w:hanging="720"/>
      </w:pPr>
      <w:rPr>
        <w:rFonts w:hint="default"/>
        <w:lang w:val="en-US" w:eastAsia="en-US" w:bidi="ar-SA"/>
      </w:rPr>
    </w:lvl>
    <w:lvl w:ilvl="8" w:tplc="7E0E78BA">
      <w:numFmt w:val="bullet"/>
      <w:lvlText w:val="•"/>
      <w:lvlJc w:val="left"/>
      <w:pPr>
        <w:ind w:left="7557" w:hanging="720"/>
      </w:pPr>
      <w:rPr>
        <w:rFonts w:hint="default"/>
        <w:lang w:val="en-US" w:eastAsia="en-US" w:bidi="ar-SA"/>
      </w:rPr>
    </w:lvl>
  </w:abstractNum>
  <w:abstractNum w:abstractNumId="14" w15:restartNumberingAfterBreak="0">
    <w:nsid w:val="5199179A"/>
    <w:multiLevelType w:val="hybridMultilevel"/>
    <w:tmpl w:val="9BA493C6"/>
    <w:lvl w:ilvl="0" w:tplc="7C0683B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9D80EE3"/>
    <w:multiLevelType w:val="hybridMultilevel"/>
    <w:tmpl w:val="97A2BD86"/>
    <w:lvl w:ilvl="0" w:tplc="D43ED354">
      <w:start w:val="1"/>
      <w:numFmt w:val="decimal"/>
      <w:lvlText w:val="%1."/>
      <w:lvlJc w:val="left"/>
      <w:pPr>
        <w:ind w:left="840" w:hanging="360"/>
      </w:pPr>
      <w:rPr>
        <w:rFonts w:ascii="Times New Roman" w:eastAsia="Times New Roman" w:hAnsi="Times New Roman" w:cs="Times New Roman" w:hint="default"/>
        <w:b w:val="0"/>
        <w:bCs w:val="0"/>
        <w:i w:val="0"/>
        <w:iCs w:val="0"/>
        <w:w w:val="100"/>
        <w:sz w:val="24"/>
        <w:szCs w:val="24"/>
        <w:lang w:val="en-US" w:eastAsia="en-US" w:bidi="ar-SA"/>
      </w:rPr>
    </w:lvl>
    <w:lvl w:ilvl="1" w:tplc="462EDCBE">
      <w:start w:val="1"/>
      <w:numFmt w:val="decimal"/>
      <w:lvlText w:val="(%2)"/>
      <w:lvlJc w:val="left"/>
      <w:pPr>
        <w:ind w:left="2404"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2" w:tplc="2604DBA8">
      <w:start w:val="1"/>
      <w:numFmt w:val="lowerLetter"/>
      <w:lvlText w:val="%3."/>
      <w:lvlJc w:val="left"/>
      <w:pPr>
        <w:ind w:left="3162" w:hanging="360"/>
      </w:pPr>
      <w:rPr>
        <w:rFonts w:ascii="Times New Roman" w:eastAsia="Times New Roman" w:hAnsi="Times New Roman" w:cs="Times New Roman"/>
        <w:lang w:val="en-US" w:eastAsia="en-US" w:bidi="ar-SA"/>
      </w:rPr>
    </w:lvl>
    <w:lvl w:ilvl="3" w:tplc="19BCA078">
      <w:numFmt w:val="bullet"/>
      <w:lvlText w:val="•"/>
      <w:lvlJc w:val="left"/>
      <w:pPr>
        <w:ind w:left="3925" w:hanging="360"/>
      </w:pPr>
      <w:rPr>
        <w:rFonts w:hint="default"/>
        <w:lang w:val="en-US" w:eastAsia="en-US" w:bidi="ar-SA"/>
      </w:rPr>
    </w:lvl>
    <w:lvl w:ilvl="4" w:tplc="CD642042">
      <w:numFmt w:val="bullet"/>
      <w:lvlText w:val="•"/>
      <w:lvlJc w:val="left"/>
      <w:pPr>
        <w:ind w:left="4688" w:hanging="360"/>
      </w:pPr>
      <w:rPr>
        <w:rFonts w:hint="default"/>
        <w:lang w:val="en-US" w:eastAsia="en-US" w:bidi="ar-SA"/>
      </w:rPr>
    </w:lvl>
    <w:lvl w:ilvl="5" w:tplc="C7909D9E">
      <w:numFmt w:val="bullet"/>
      <w:lvlText w:val="•"/>
      <w:lvlJc w:val="left"/>
      <w:pPr>
        <w:ind w:left="5451" w:hanging="360"/>
      </w:pPr>
      <w:rPr>
        <w:rFonts w:hint="default"/>
        <w:lang w:val="en-US" w:eastAsia="en-US" w:bidi="ar-SA"/>
      </w:rPr>
    </w:lvl>
    <w:lvl w:ilvl="6" w:tplc="415825BC">
      <w:numFmt w:val="bullet"/>
      <w:lvlText w:val="•"/>
      <w:lvlJc w:val="left"/>
      <w:pPr>
        <w:ind w:left="6214" w:hanging="360"/>
      </w:pPr>
      <w:rPr>
        <w:rFonts w:hint="default"/>
        <w:lang w:val="en-US" w:eastAsia="en-US" w:bidi="ar-SA"/>
      </w:rPr>
    </w:lvl>
    <w:lvl w:ilvl="7" w:tplc="185CD018">
      <w:numFmt w:val="bullet"/>
      <w:lvlText w:val="•"/>
      <w:lvlJc w:val="left"/>
      <w:pPr>
        <w:ind w:left="6977" w:hanging="360"/>
      </w:pPr>
      <w:rPr>
        <w:rFonts w:hint="default"/>
        <w:lang w:val="en-US" w:eastAsia="en-US" w:bidi="ar-SA"/>
      </w:rPr>
    </w:lvl>
    <w:lvl w:ilvl="8" w:tplc="9E105CD0">
      <w:numFmt w:val="bullet"/>
      <w:lvlText w:val="•"/>
      <w:lvlJc w:val="left"/>
      <w:pPr>
        <w:ind w:left="7740" w:hanging="360"/>
      </w:pPr>
      <w:rPr>
        <w:rFonts w:hint="default"/>
        <w:lang w:val="en-US" w:eastAsia="en-US" w:bidi="ar-SA"/>
      </w:rPr>
    </w:lvl>
  </w:abstractNum>
  <w:abstractNum w:abstractNumId="16" w15:restartNumberingAfterBreak="0">
    <w:nsid w:val="5AF12B6A"/>
    <w:multiLevelType w:val="multilevel"/>
    <w:tmpl w:val="7C568FB2"/>
    <w:lvl w:ilvl="0">
      <w:start w:val="10"/>
      <w:numFmt w:val="decimal"/>
      <w:lvlText w:val="%1"/>
      <w:lvlJc w:val="left"/>
      <w:pPr>
        <w:ind w:left="1560" w:hanging="720"/>
      </w:pPr>
      <w:rPr>
        <w:rFonts w:hint="default"/>
        <w:lang w:val="en-US" w:eastAsia="en-US" w:bidi="ar-SA"/>
      </w:rPr>
    </w:lvl>
    <w:lvl w:ilvl="1">
      <w:start w:val="1"/>
      <w:numFmt w:val="decimal"/>
      <w:lvlText w:val="%1.%2"/>
      <w:lvlJc w:val="left"/>
      <w:pPr>
        <w:ind w:left="1560" w:hanging="72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3)"/>
      <w:lvlJc w:val="left"/>
      <w:pPr>
        <w:ind w:left="228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3832" w:hanging="720"/>
      </w:pPr>
      <w:rPr>
        <w:rFonts w:hint="default"/>
        <w:lang w:val="en-US" w:eastAsia="en-US" w:bidi="ar-SA"/>
      </w:rPr>
    </w:lvl>
    <w:lvl w:ilvl="4">
      <w:numFmt w:val="bullet"/>
      <w:lvlText w:val="•"/>
      <w:lvlJc w:val="left"/>
      <w:pPr>
        <w:ind w:left="4608" w:hanging="720"/>
      </w:pPr>
      <w:rPr>
        <w:rFonts w:hint="default"/>
        <w:lang w:val="en-US" w:eastAsia="en-US" w:bidi="ar-SA"/>
      </w:rPr>
    </w:lvl>
    <w:lvl w:ilvl="5">
      <w:numFmt w:val="bullet"/>
      <w:lvlText w:val="•"/>
      <w:lvlJc w:val="left"/>
      <w:pPr>
        <w:ind w:left="5385" w:hanging="720"/>
      </w:pPr>
      <w:rPr>
        <w:rFonts w:hint="default"/>
        <w:lang w:val="en-US" w:eastAsia="en-US" w:bidi="ar-SA"/>
      </w:rPr>
    </w:lvl>
    <w:lvl w:ilvl="6">
      <w:numFmt w:val="bullet"/>
      <w:lvlText w:val="•"/>
      <w:lvlJc w:val="left"/>
      <w:pPr>
        <w:ind w:left="6161" w:hanging="720"/>
      </w:pPr>
      <w:rPr>
        <w:rFonts w:hint="default"/>
        <w:lang w:val="en-US" w:eastAsia="en-US" w:bidi="ar-SA"/>
      </w:rPr>
    </w:lvl>
    <w:lvl w:ilvl="7">
      <w:numFmt w:val="bullet"/>
      <w:lvlText w:val="•"/>
      <w:lvlJc w:val="left"/>
      <w:pPr>
        <w:ind w:left="6937" w:hanging="720"/>
      </w:pPr>
      <w:rPr>
        <w:rFonts w:hint="default"/>
        <w:lang w:val="en-US" w:eastAsia="en-US" w:bidi="ar-SA"/>
      </w:rPr>
    </w:lvl>
    <w:lvl w:ilvl="8">
      <w:numFmt w:val="bullet"/>
      <w:lvlText w:val="•"/>
      <w:lvlJc w:val="left"/>
      <w:pPr>
        <w:ind w:left="7713" w:hanging="720"/>
      </w:pPr>
      <w:rPr>
        <w:rFonts w:hint="default"/>
        <w:lang w:val="en-US" w:eastAsia="en-US" w:bidi="ar-SA"/>
      </w:rPr>
    </w:lvl>
  </w:abstractNum>
  <w:abstractNum w:abstractNumId="17" w15:restartNumberingAfterBreak="0">
    <w:nsid w:val="5C737DDB"/>
    <w:multiLevelType w:val="hybridMultilevel"/>
    <w:tmpl w:val="3C588AF0"/>
    <w:lvl w:ilvl="0" w:tplc="3584593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63CD6941"/>
    <w:multiLevelType w:val="multilevel"/>
    <w:tmpl w:val="6156A5F8"/>
    <w:lvl w:ilvl="0">
      <w:start w:val="7"/>
      <w:numFmt w:val="decimal"/>
      <w:lvlText w:val="%1"/>
      <w:lvlJc w:val="left"/>
      <w:pPr>
        <w:ind w:left="840" w:hanging="720"/>
      </w:pPr>
      <w:rPr>
        <w:rFonts w:hint="default"/>
        <w:lang w:val="en-US" w:eastAsia="en-US" w:bidi="ar-SA"/>
      </w:rPr>
    </w:lvl>
    <w:lvl w:ilvl="1">
      <w:start w:val="1"/>
      <w:numFmt w:val="decimal"/>
      <w:lvlText w:val="%1.%2"/>
      <w:lvlJc w:val="left"/>
      <w:pPr>
        <w:ind w:left="840" w:hanging="72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560"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272" w:hanging="720"/>
      </w:pPr>
      <w:rPr>
        <w:rFonts w:hint="default"/>
        <w:lang w:val="en-US" w:eastAsia="en-US" w:bidi="ar-SA"/>
      </w:rPr>
    </w:lvl>
    <w:lvl w:ilvl="4">
      <w:numFmt w:val="bullet"/>
      <w:lvlText w:val="•"/>
      <w:lvlJc w:val="left"/>
      <w:pPr>
        <w:ind w:left="4128" w:hanging="720"/>
      </w:pPr>
      <w:rPr>
        <w:rFonts w:hint="default"/>
        <w:lang w:val="en-US" w:eastAsia="en-US" w:bidi="ar-SA"/>
      </w:rPr>
    </w:lvl>
    <w:lvl w:ilvl="5">
      <w:numFmt w:val="bullet"/>
      <w:lvlText w:val="•"/>
      <w:lvlJc w:val="left"/>
      <w:pPr>
        <w:ind w:left="4985" w:hanging="720"/>
      </w:pPr>
      <w:rPr>
        <w:rFonts w:hint="default"/>
        <w:lang w:val="en-US" w:eastAsia="en-US" w:bidi="ar-SA"/>
      </w:rPr>
    </w:lvl>
    <w:lvl w:ilvl="6">
      <w:numFmt w:val="bullet"/>
      <w:lvlText w:val="•"/>
      <w:lvlJc w:val="left"/>
      <w:pPr>
        <w:ind w:left="5841" w:hanging="720"/>
      </w:pPr>
      <w:rPr>
        <w:rFonts w:hint="default"/>
        <w:lang w:val="en-US" w:eastAsia="en-US" w:bidi="ar-SA"/>
      </w:rPr>
    </w:lvl>
    <w:lvl w:ilvl="7">
      <w:numFmt w:val="bullet"/>
      <w:lvlText w:val="•"/>
      <w:lvlJc w:val="left"/>
      <w:pPr>
        <w:ind w:left="6697" w:hanging="720"/>
      </w:pPr>
      <w:rPr>
        <w:rFonts w:hint="default"/>
        <w:lang w:val="en-US" w:eastAsia="en-US" w:bidi="ar-SA"/>
      </w:rPr>
    </w:lvl>
    <w:lvl w:ilvl="8">
      <w:numFmt w:val="bullet"/>
      <w:lvlText w:val="•"/>
      <w:lvlJc w:val="left"/>
      <w:pPr>
        <w:ind w:left="7553" w:hanging="720"/>
      </w:pPr>
      <w:rPr>
        <w:rFonts w:hint="default"/>
        <w:lang w:val="en-US" w:eastAsia="en-US" w:bidi="ar-SA"/>
      </w:rPr>
    </w:lvl>
  </w:abstractNum>
  <w:abstractNum w:abstractNumId="19" w15:restartNumberingAfterBreak="0">
    <w:nsid w:val="6D372ED8"/>
    <w:multiLevelType w:val="multilevel"/>
    <w:tmpl w:val="BF3A85F8"/>
    <w:lvl w:ilvl="0">
      <w:start w:val="14"/>
      <w:numFmt w:val="decimal"/>
      <w:lvlText w:val="%1"/>
      <w:lvlJc w:val="left"/>
      <w:pPr>
        <w:ind w:left="840" w:hanging="720"/>
      </w:pPr>
      <w:rPr>
        <w:rFonts w:hint="default"/>
        <w:lang w:val="en-US" w:eastAsia="en-US" w:bidi="ar-SA"/>
      </w:rPr>
    </w:lvl>
    <w:lvl w:ilvl="1">
      <w:start w:val="1"/>
      <w:numFmt w:val="decimal"/>
      <w:lvlText w:val="%1.%2"/>
      <w:lvlJc w:val="left"/>
      <w:pPr>
        <w:ind w:left="84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525" w:hanging="720"/>
      </w:pPr>
      <w:rPr>
        <w:rFonts w:hint="default"/>
        <w:lang w:val="en-US" w:eastAsia="en-US" w:bidi="ar-SA"/>
      </w:rPr>
    </w:lvl>
    <w:lvl w:ilvl="3">
      <w:numFmt w:val="bullet"/>
      <w:lvlText w:val="•"/>
      <w:lvlJc w:val="left"/>
      <w:pPr>
        <w:ind w:left="3367" w:hanging="720"/>
      </w:pPr>
      <w:rPr>
        <w:rFonts w:hint="default"/>
        <w:lang w:val="en-US" w:eastAsia="en-US" w:bidi="ar-SA"/>
      </w:rPr>
    </w:lvl>
    <w:lvl w:ilvl="4">
      <w:numFmt w:val="bullet"/>
      <w:lvlText w:val="•"/>
      <w:lvlJc w:val="left"/>
      <w:pPr>
        <w:ind w:left="4210" w:hanging="720"/>
      </w:pPr>
      <w:rPr>
        <w:rFonts w:hint="default"/>
        <w:lang w:val="en-US" w:eastAsia="en-US" w:bidi="ar-SA"/>
      </w:rPr>
    </w:lvl>
    <w:lvl w:ilvl="5">
      <w:numFmt w:val="bullet"/>
      <w:lvlText w:val="•"/>
      <w:lvlJc w:val="left"/>
      <w:pPr>
        <w:ind w:left="5053" w:hanging="720"/>
      </w:pPr>
      <w:rPr>
        <w:rFonts w:hint="default"/>
        <w:lang w:val="en-US" w:eastAsia="en-US" w:bidi="ar-SA"/>
      </w:rPr>
    </w:lvl>
    <w:lvl w:ilvl="6">
      <w:numFmt w:val="bullet"/>
      <w:lvlText w:val="•"/>
      <w:lvlJc w:val="left"/>
      <w:pPr>
        <w:ind w:left="5895" w:hanging="720"/>
      </w:pPr>
      <w:rPr>
        <w:rFonts w:hint="default"/>
        <w:lang w:val="en-US" w:eastAsia="en-US" w:bidi="ar-SA"/>
      </w:rPr>
    </w:lvl>
    <w:lvl w:ilvl="7">
      <w:numFmt w:val="bullet"/>
      <w:lvlText w:val="•"/>
      <w:lvlJc w:val="left"/>
      <w:pPr>
        <w:ind w:left="6738" w:hanging="720"/>
      </w:pPr>
      <w:rPr>
        <w:rFonts w:hint="default"/>
        <w:lang w:val="en-US" w:eastAsia="en-US" w:bidi="ar-SA"/>
      </w:rPr>
    </w:lvl>
    <w:lvl w:ilvl="8">
      <w:numFmt w:val="bullet"/>
      <w:lvlText w:val="•"/>
      <w:lvlJc w:val="left"/>
      <w:pPr>
        <w:ind w:left="7581" w:hanging="720"/>
      </w:pPr>
      <w:rPr>
        <w:rFonts w:hint="default"/>
        <w:lang w:val="en-US" w:eastAsia="en-US" w:bidi="ar-SA"/>
      </w:rPr>
    </w:lvl>
  </w:abstractNum>
  <w:abstractNum w:abstractNumId="20" w15:restartNumberingAfterBreak="0">
    <w:nsid w:val="70746F84"/>
    <w:multiLevelType w:val="multilevel"/>
    <w:tmpl w:val="BA20DFFA"/>
    <w:lvl w:ilvl="0">
      <w:start w:val="3"/>
      <w:numFmt w:val="decimal"/>
      <w:lvlText w:val="%1"/>
      <w:lvlJc w:val="left"/>
      <w:pPr>
        <w:ind w:left="840" w:hanging="720"/>
      </w:pPr>
      <w:rPr>
        <w:rFonts w:hint="default"/>
        <w:lang w:val="en-US" w:eastAsia="en-US" w:bidi="ar-SA"/>
      </w:rPr>
    </w:lvl>
    <w:lvl w:ilvl="1">
      <w:start w:val="1"/>
      <w:numFmt w:val="decimal"/>
      <w:lvlText w:val="%1.%2"/>
      <w:lvlJc w:val="left"/>
      <w:pPr>
        <w:ind w:left="84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525" w:hanging="720"/>
      </w:pPr>
      <w:rPr>
        <w:rFonts w:hint="default"/>
        <w:lang w:val="en-US" w:eastAsia="en-US" w:bidi="ar-SA"/>
      </w:rPr>
    </w:lvl>
    <w:lvl w:ilvl="3">
      <w:numFmt w:val="bullet"/>
      <w:lvlText w:val="•"/>
      <w:lvlJc w:val="left"/>
      <w:pPr>
        <w:ind w:left="3367" w:hanging="720"/>
      </w:pPr>
      <w:rPr>
        <w:rFonts w:hint="default"/>
        <w:lang w:val="en-US" w:eastAsia="en-US" w:bidi="ar-SA"/>
      </w:rPr>
    </w:lvl>
    <w:lvl w:ilvl="4">
      <w:numFmt w:val="bullet"/>
      <w:lvlText w:val="•"/>
      <w:lvlJc w:val="left"/>
      <w:pPr>
        <w:ind w:left="4210" w:hanging="720"/>
      </w:pPr>
      <w:rPr>
        <w:rFonts w:hint="default"/>
        <w:lang w:val="en-US" w:eastAsia="en-US" w:bidi="ar-SA"/>
      </w:rPr>
    </w:lvl>
    <w:lvl w:ilvl="5">
      <w:numFmt w:val="bullet"/>
      <w:lvlText w:val="•"/>
      <w:lvlJc w:val="left"/>
      <w:pPr>
        <w:ind w:left="5053" w:hanging="720"/>
      </w:pPr>
      <w:rPr>
        <w:rFonts w:hint="default"/>
        <w:lang w:val="en-US" w:eastAsia="en-US" w:bidi="ar-SA"/>
      </w:rPr>
    </w:lvl>
    <w:lvl w:ilvl="6">
      <w:numFmt w:val="bullet"/>
      <w:lvlText w:val="•"/>
      <w:lvlJc w:val="left"/>
      <w:pPr>
        <w:ind w:left="5895" w:hanging="720"/>
      </w:pPr>
      <w:rPr>
        <w:rFonts w:hint="default"/>
        <w:lang w:val="en-US" w:eastAsia="en-US" w:bidi="ar-SA"/>
      </w:rPr>
    </w:lvl>
    <w:lvl w:ilvl="7">
      <w:numFmt w:val="bullet"/>
      <w:lvlText w:val="•"/>
      <w:lvlJc w:val="left"/>
      <w:pPr>
        <w:ind w:left="6738" w:hanging="720"/>
      </w:pPr>
      <w:rPr>
        <w:rFonts w:hint="default"/>
        <w:lang w:val="en-US" w:eastAsia="en-US" w:bidi="ar-SA"/>
      </w:rPr>
    </w:lvl>
    <w:lvl w:ilvl="8">
      <w:numFmt w:val="bullet"/>
      <w:lvlText w:val="•"/>
      <w:lvlJc w:val="left"/>
      <w:pPr>
        <w:ind w:left="7581" w:hanging="720"/>
      </w:pPr>
      <w:rPr>
        <w:rFonts w:hint="default"/>
        <w:lang w:val="en-US" w:eastAsia="en-US" w:bidi="ar-SA"/>
      </w:rPr>
    </w:lvl>
  </w:abstractNum>
  <w:abstractNum w:abstractNumId="21" w15:restartNumberingAfterBreak="0">
    <w:nsid w:val="7893646D"/>
    <w:multiLevelType w:val="hybridMultilevel"/>
    <w:tmpl w:val="2A66D3A6"/>
    <w:lvl w:ilvl="0" w:tplc="EC7ABF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493BF8"/>
    <w:multiLevelType w:val="multilevel"/>
    <w:tmpl w:val="67664082"/>
    <w:lvl w:ilvl="0">
      <w:start w:val="4"/>
      <w:numFmt w:val="decimal"/>
      <w:lvlText w:val="%1"/>
      <w:lvlJc w:val="left"/>
      <w:pPr>
        <w:ind w:left="840" w:hanging="720"/>
      </w:pPr>
      <w:rPr>
        <w:rFonts w:hint="default"/>
        <w:lang w:val="en-US" w:eastAsia="en-US" w:bidi="ar-SA"/>
      </w:rPr>
    </w:lvl>
    <w:lvl w:ilvl="1">
      <w:start w:val="1"/>
      <w:numFmt w:val="decimal"/>
      <w:lvlText w:val="%1.%2"/>
      <w:lvlJc w:val="left"/>
      <w:pPr>
        <w:ind w:left="840" w:hanging="72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560" w:hanging="720"/>
      </w:pPr>
      <w:rPr>
        <w:rFonts w:ascii="Times New Roman" w:eastAsia="Times New Roman" w:hAnsi="Times New Roman" w:cs="Times New Roman"/>
        <w:b w:val="0"/>
        <w:bCs w:val="0"/>
        <w:i w:val="0"/>
        <w:iCs w:val="0"/>
        <w:w w:val="100"/>
        <w:sz w:val="24"/>
        <w:szCs w:val="24"/>
        <w:lang w:val="en-US" w:eastAsia="en-US" w:bidi="ar-SA"/>
      </w:rPr>
    </w:lvl>
    <w:lvl w:ilvl="3">
      <w:numFmt w:val="bullet"/>
      <w:lvlText w:val="•"/>
      <w:lvlJc w:val="left"/>
      <w:pPr>
        <w:ind w:left="3272" w:hanging="720"/>
      </w:pPr>
      <w:rPr>
        <w:rFonts w:hint="default"/>
        <w:lang w:val="en-US" w:eastAsia="en-US" w:bidi="ar-SA"/>
      </w:rPr>
    </w:lvl>
    <w:lvl w:ilvl="4">
      <w:numFmt w:val="bullet"/>
      <w:lvlText w:val="•"/>
      <w:lvlJc w:val="left"/>
      <w:pPr>
        <w:ind w:left="4128" w:hanging="720"/>
      </w:pPr>
      <w:rPr>
        <w:rFonts w:hint="default"/>
        <w:lang w:val="en-US" w:eastAsia="en-US" w:bidi="ar-SA"/>
      </w:rPr>
    </w:lvl>
    <w:lvl w:ilvl="5">
      <w:numFmt w:val="bullet"/>
      <w:lvlText w:val="•"/>
      <w:lvlJc w:val="left"/>
      <w:pPr>
        <w:ind w:left="4985" w:hanging="720"/>
      </w:pPr>
      <w:rPr>
        <w:rFonts w:hint="default"/>
        <w:lang w:val="en-US" w:eastAsia="en-US" w:bidi="ar-SA"/>
      </w:rPr>
    </w:lvl>
    <w:lvl w:ilvl="6">
      <w:numFmt w:val="bullet"/>
      <w:lvlText w:val="•"/>
      <w:lvlJc w:val="left"/>
      <w:pPr>
        <w:ind w:left="5841" w:hanging="720"/>
      </w:pPr>
      <w:rPr>
        <w:rFonts w:hint="default"/>
        <w:lang w:val="en-US" w:eastAsia="en-US" w:bidi="ar-SA"/>
      </w:rPr>
    </w:lvl>
    <w:lvl w:ilvl="7">
      <w:numFmt w:val="bullet"/>
      <w:lvlText w:val="•"/>
      <w:lvlJc w:val="left"/>
      <w:pPr>
        <w:ind w:left="6697" w:hanging="720"/>
      </w:pPr>
      <w:rPr>
        <w:rFonts w:hint="default"/>
        <w:lang w:val="en-US" w:eastAsia="en-US" w:bidi="ar-SA"/>
      </w:rPr>
    </w:lvl>
    <w:lvl w:ilvl="8">
      <w:numFmt w:val="bullet"/>
      <w:lvlText w:val="•"/>
      <w:lvlJc w:val="left"/>
      <w:pPr>
        <w:ind w:left="7553" w:hanging="720"/>
      </w:pPr>
      <w:rPr>
        <w:rFonts w:hint="default"/>
        <w:lang w:val="en-US" w:eastAsia="en-US" w:bidi="ar-SA"/>
      </w:rPr>
    </w:lvl>
  </w:abstractNum>
  <w:num w:numId="1" w16cid:durableId="1396514466">
    <w:abstractNumId w:val="19"/>
  </w:num>
  <w:num w:numId="2" w16cid:durableId="1665157655">
    <w:abstractNumId w:val="3"/>
  </w:num>
  <w:num w:numId="3" w16cid:durableId="1137264886">
    <w:abstractNumId w:val="2"/>
  </w:num>
  <w:num w:numId="4" w16cid:durableId="1116370316">
    <w:abstractNumId w:val="16"/>
  </w:num>
  <w:num w:numId="5" w16cid:durableId="7411848">
    <w:abstractNumId w:val="5"/>
  </w:num>
  <w:num w:numId="6" w16cid:durableId="1434202756">
    <w:abstractNumId w:val="0"/>
  </w:num>
  <w:num w:numId="7" w16cid:durableId="1784569245">
    <w:abstractNumId w:val="18"/>
  </w:num>
  <w:num w:numId="8" w16cid:durableId="1325008634">
    <w:abstractNumId w:val="4"/>
  </w:num>
  <w:num w:numId="9" w16cid:durableId="32002027">
    <w:abstractNumId w:val="9"/>
  </w:num>
  <w:num w:numId="10" w16cid:durableId="539903221">
    <w:abstractNumId w:val="22"/>
  </w:num>
  <w:num w:numId="11" w16cid:durableId="1438913492">
    <w:abstractNumId w:val="20"/>
  </w:num>
  <w:num w:numId="12" w16cid:durableId="1950313569">
    <w:abstractNumId w:val="7"/>
  </w:num>
  <w:num w:numId="13" w16cid:durableId="2041003589">
    <w:abstractNumId w:val="6"/>
  </w:num>
  <w:num w:numId="14" w16cid:durableId="786049302">
    <w:abstractNumId w:val="13"/>
  </w:num>
  <w:num w:numId="15" w16cid:durableId="1471245990">
    <w:abstractNumId w:val="15"/>
  </w:num>
  <w:num w:numId="16" w16cid:durableId="786042927">
    <w:abstractNumId w:val="17"/>
  </w:num>
  <w:num w:numId="17" w16cid:durableId="2051912">
    <w:abstractNumId w:val="12"/>
  </w:num>
  <w:num w:numId="18" w16cid:durableId="882056193">
    <w:abstractNumId w:val="1"/>
  </w:num>
  <w:num w:numId="19" w16cid:durableId="2009208584">
    <w:abstractNumId w:val="14"/>
  </w:num>
  <w:num w:numId="20" w16cid:durableId="1429808179">
    <w:abstractNumId w:val="10"/>
  </w:num>
  <w:num w:numId="21" w16cid:durableId="494227043">
    <w:abstractNumId w:val="11"/>
  </w:num>
  <w:num w:numId="22" w16cid:durableId="1585840832">
    <w:abstractNumId w:val="8"/>
  </w:num>
  <w:num w:numId="23" w16cid:durableId="18283988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1stName" w:val="Lucy"/>
    <w:docVar w:name="FSAuthorEmail" w:val="Lucy.Crew@fieldfisher.com"/>
    <w:docVar w:name="FSAuthorExt" w:val="+44 330 460 6475"/>
    <w:docVar w:name="FSAuthorFax" w:val="+44 207 488 0084"/>
    <w:docVar w:name="FSAuthorLogon" w:val="LC80"/>
    <w:docVar w:name="FSAuthorOffice" w:val="London"/>
    <w:docVar w:name="FSAuthorSurname" w:val="Crew"/>
    <w:docVar w:name="FSAuthorTitle" w:val="Solicitor"/>
    <w:docVar w:name="FSClientNumber" w:val="UK01-000162"/>
    <w:docVar w:name="FSDocNumber" w:val="110960100"/>
    <w:docVar w:name="FSDocVersion" w:val="1"/>
    <w:docVar w:name="FSMatterNumber" w:val="00301"/>
    <w:docVar w:name="FSTypist" w:val="LC80"/>
    <w:docVar w:name="FSTypistExt" w:val="+44 330 460 6475"/>
    <w:docVar w:name="FSTypistLogon" w:val="LC80"/>
    <w:docVar w:name="zTimeOpened" w:val="14-Apr-2023 10:16:50"/>
  </w:docVars>
  <w:rsids>
    <w:rsidRoot w:val="00BB57FF"/>
    <w:rsid w:val="00006E81"/>
    <w:rsid w:val="00013A6E"/>
    <w:rsid w:val="0001544C"/>
    <w:rsid w:val="00023C65"/>
    <w:rsid w:val="00026E7E"/>
    <w:rsid w:val="00030178"/>
    <w:rsid w:val="00030402"/>
    <w:rsid w:val="00033513"/>
    <w:rsid w:val="00033F12"/>
    <w:rsid w:val="00035B0E"/>
    <w:rsid w:val="00037D1F"/>
    <w:rsid w:val="00050998"/>
    <w:rsid w:val="000518BF"/>
    <w:rsid w:val="00053D38"/>
    <w:rsid w:val="00054E77"/>
    <w:rsid w:val="00056506"/>
    <w:rsid w:val="00057C70"/>
    <w:rsid w:val="0006355A"/>
    <w:rsid w:val="00065204"/>
    <w:rsid w:val="00065E95"/>
    <w:rsid w:val="00067B06"/>
    <w:rsid w:val="000709C3"/>
    <w:rsid w:val="000731F9"/>
    <w:rsid w:val="000739D1"/>
    <w:rsid w:val="00074BB0"/>
    <w:rsid w:val="00076CBD"/>
    <w:rsid w:val="00083184"/>
    <w:rsid w:val="00083516"/>
    <w:rsid w:val="00083D85"/>
    <w:rsid w:val="000908A9"/>
    <w:rsid w:val="00096898"/>
    <w:rsid w:val="000A0E8B"/>
    <w:rsid w:val="000A37CE"/>
    <w:rsid w:val="000A7130"/>
    <w:rsid w:val="000B2035"/>
    <w:rsid w:val="000B6CF7"/>
    <w:rsid w:val="000C33B2"/>
    <w:rsid w:val="000D0C29"/>
    <w:rsid w:val="000D262A"/>
    <w:rsid w:val="000D3616"/>
    <w:rsid w:val="000E0272"/>
    <w:rsid w:val="000E138E"/>
    <w:rsid w:val="000E1D73"/>
    <w:rsid w:val="000E2D49"/>
    <w:rsid w:val="000E36EE"/>
    <w:rsid w:val="000E3A5D"/>
    <w:rsid w:val="000F52F7"/>
    <w:rsid w:val="000F77C7"/>
    <w:rsid w:val="000F7889"/>
    <w:rsid w:val="0010050C"/>
    <w:rsid w:val="00102781"/>
    <w:rsid w:val="00107C99"/>
    <w:rsid w:val="001148E4"/>
    <w:rsid w:val="00117224"/>
    <w:rsid w:val="00132582"/>
    <w:rsid w:val="001439E9"/>
    <w:rsid w:val="00144448"/>
    <w:rsid w:val="001453FD"/>
    <w:rsid w:val="001474D2"/>
    <w:rsid w:val="00147BE1"/>
    <w:rsid w:val="001508A7"/>
    <w:rsid w:val="00150F04"/>
    <w:rsid w:val="00151EFD"/>
    <w:rsid w:val="00160742"/>
    <w:rsid w:val="0016365A"/>
    <w:rsid w:val="00165813"/>
    <w:rsid w:val="00172B9C"/>
    <w:rsid w:val="00174D17"/>
    <w:rsid w:val="0017600A"/>
    <w:rsid w:val="0018057E"/>
    <w:rsid w:val="001805C4"/>
    <w:rsid w:val="001824CF"/>
    <w:rsid w:val="0018295C"/>
    <w:rsid w:val="001836C2"/>
    <w:rsid w:val="00187486"/>
    <w:rsid w:val="00194B1B"/>
    <w:rsid w:val="001A3BC9"/>
    <w:rsid w:val="001A5B9C"/>
    <w:rsid w:val="001A7222"/>
    <w:rsid w:val="001B03B5"/>
    <w:rsid w:val="001B1015"/>
    <w:rsid w:val="001C33EA"/>
    <w:rsid w:val="001C7335"/>
    <w:rsid w:val="001D093B"/>
    <w:rsid w:val="001D3A79"/>
    <w:rsid w:val="001D3EF4"/>
    <w:rsid w:val="001E19E7"/>
    <w:rsid w:val="001E6ACF"/>
    <w:rsid w:val="001F021C"/>
    <w:rsid w:val="001F0DEA"/>
    <w:rsid w:val="001F14C0"/>
    <w:rsid w:val="001F181B"/>
    <w:rsid w:val="001F5281"/>
    <w:rsid w:val="002039D7"/>
    <w:rsid w:val="002042D2"/>
    <w:rsid w:val="00205485"/>
    <w:rsid w:val="002075D8"/>
    <w:rsid w:val="00212DCC"/>
    <w:rsid w:val="00214559"/>
    <w:rsid w:val="00215DAB"/>
    <w:rsid w:val="00220F0A"/>
    <w:rsid w:val="00221339"/>
    <w:rsid w:val="002261A0"/>
    <w:rsid w:val="002266CC"/>
    <w:rsid w:val="00227E4F"/>
    <w:rsid w:val="00232F8A"/>
    <w:rsid w:val="00233A74"/>
    <w:rsid w:val="00236A0C"/>
    <w:rsid w:val="00237DCC"/>
    <w:rsid w:val="00240B55"/>
    <w:rsid w:val="00240F86"/>
    <w:rsid w:val="00242973"/>
    <w:rsid w:val="0025066A"/>
    <w:rsid w:val="00273559"/>
    <w:rsid w:val="00275F86"/>
    <w:rsid w:val="0028128A"/>
    <w:rsid w:val="00284A47"/>
    <w:rsid w:val="00285DE0"/>
    <w:rsid w:val="002B2F40"/>
    <w:rsid w:val="002B5CD2"/>
    <w:rsid w:val="002B6BD2"/>
    <w:rsid w:val="002C3C56"/>
    <w:rsid w:val="002C45E4"/>
    <w:rsid w:val="002D4F89"/>
    <w:rsid w:val="002D505C"/>
    <w:rsid w:val="002D532D"/>
    <w:rsid w:val="002D53A3"/>
    <w:rsid w:val="002D5973"/>
    <w:rsid w:val="002F08C0"/>
    <w:rsid w:val="002F27ED"/>
    <w:rsid w:val="002F48AD"/>
    <w:rsid w:val="0030168E"/>
    <w:rsid w:val="003071FA"/>
    <w:rsid w:val="003075B0"/>
    <w:rsid w:val="00310B2F"/>
    <w:rsid w:val="003136EF"/>
    <w:rsid w:val="003139E5"/>
    <w:rsid w:val="003148DE"/>
    <w:rsid w:val="003216A2"/>
    <w:rsid w:val="00321BCC"/>
    <w:rsid w:val="00322E36"/>
    <w:rsid w:val="00323B31"/>
    <w:rsid w:val="00336C56"/>
    <w:rsid w:val="00351FC4"/>
    <w:rsid w:val="00354DAC"/>
    <w:rsid w:val="00355170"/>
    <w:rsid w:val="003618D7"/>
    <w:rsid w:val="00364985"/>
    <w:rsid w:val="003661E6"/>
    <w:rsid w:val="00367B12"/>
    <w:rsid w:val="00374428"/>
    <w:rsid w:val="0038122F"/>
    <w:rsid w:val="00382CAA"/>
    <w:rsid w:val="003869EE"/>
    <w:rsid w:val="00387705"/>
    <w:rsid w:val="00393FF0"/>
    <w:rsid w:val="003978AD"/>
    <w:rsid w:val="003A1061"/>
    <w:rsid w:val="003A388F"/>
    <w:rsid w:val="003A5DFF"/>
    <w:rsid w:val="003A6106"/>
    <w:rsid w:val="003A6F49"/>
    <w:rsid w:val="003B4A73"/>
    <w:rsid w:val="003B718C"/>
    <w:rsid w:val="003C6D22"/>
    <w:rsid w:val="003D09EA"/>
    <w:rsid w:val="003D3DD5"/>
    <w:rsid w:val="003E3296"/>
    <w:rsid w:val="003E5A2E"/>
    <w:rsid w:val="003E7CBB"/>
    <w:rsid w:val="003F3B2A"/>
    <w:rsid w:val="00407BBE"/>
    <w:rsid w:val="00410081"/>
    <w:rsid w:val="00410556"/>
    <w:rsid w:val="004203BC"/>
    <w:rsid w:val="004231F0"/>
    <w:rsid w:val="004400C1"/>
    <w:rsid w:val="004548AD"/>
    <w:rsid w:val="0045778D"/>
    <w:rsid w:val="004663B8"/>
    <w:rsid w:val="0047757A"/>
    <w:rsid w:val="00480632"/>
    <w:rsid w:val="00483998"/>
    <w:rsid w:val="00486EFB"/>
    <w:rsid w:val="00490EC5"/>
    <w:rsid w:val="00492CE7"/>
    <w:rsid w:val="00493BD9"/>
    <w:rsid w:val="004948CB"/>
    <w:rsid w:val="004A165B"/>
    <w:rsid w:val="004A31B3"/>
    <w:rsid w:val="004A68F5"/>
    <w:rsid w:val="004A6B70"/>
    <w:rsid w:val="004A6D16"/>
    <w:rsid w:val="004A6DD6"/>
    <w:rsid w:val="004A7B5A"/>
    <w:rsid w:val="004A7BD2"/>
    <w:rsid w:val="004B1955"/>
    <w:rsid w:val="004B1E6D"/>
    <w:rsid w:val="004B3B0E"/>
    <w:rsid w:val="004B40E2"/>
    <w:rsid w:val="004B5544"/>
    <w:rsid w:val="004C0280"/>
    <w:rsid w:val="004C0383"/>
    <w:rsid w:val="004C03AD"/>
    <w:rsid w:val="004C1FF2"/>
    <w:rsid w:val="004C7542"/>
    <w:rsid w:val="004D0CBE"/>
    <w:rsid w:val="004D4F04"/>
    <w:rsid w:val="004D506E"/>
    <w:rsid w:val="004D7442"/>
    <w:rsid w:val="004E022E"/>
    <w:rsid w:val="004E499A"/>
    <w:rsid w:val="004E49E2"/>
    <w:rsid w:val="004E6FAE"/>
    <w:rsid w:val="004F17E5"/>
    <w:rsid w:val="004F185D"/>
    <w:rsid w:val="004F275D"/>
    <w:rsid w:val="004F368D"/>
    <w:rsid w:val="004F587A"/>
    <w:rsid w:val="005001E3"/>
    <w:rsid w:val="005212A1"/>
    <w:rsid w:val="00521727"/>
    <w:rsid w:val="00523B14"/>
    <w:rsid w:val="00523B3F"/>
    <w:rsid w:val="0053209F"/>
    <w:rsid w:val="00533D24"/>
    <w:rsid w:val="005364E0"/>
    <w:rsid w:val="005376B8"/>
    <w:rsid w:val="00543A79"/>
    <w:rsid w:val="005466C7"/>
    <w:rsid w:val="005501C8"/>
    <w:rsid w:val="005520FC"/>
    <w:rsid w:val="005619B3"/>
    <w:rsid w:val="00564207"/>
    <w:rsid w:val="00565DC9"/>
    <w:rsid w:val="00572F9D"/>
    <w:rsid w:val="005737F9"/>
    <w:rsid w:val="005834BF"/>
    <w:rsid w:val="00584570"/>
    <w:rsid w:val="00584D37"/>
    <w:rsid w:val="00595019"/>
    <w:rsid w:val="005A49CD"/>
    <w:rsid w:val="005A66DA"/>
    <w:rsid w:val="005B3B58"/>
    <w:rsid w:val="005B4351"/>
    <w:rsid w:val="005B62A0"/>
    <w:rsid w:val="005B7356"/>
    <w:rsid w:val="005C281C"/>
    <w:rsid w:val="005D00CE"/>
    <w:rsid w:val="005D0627"/>
    <w:rsid w:val="005D1FF3"/>
    <w:rsid w:val="005D20F3"/>
    <w:rsid w:val="005D25F4"/>
    <w:rsid w:val="005D4AB2"/>
    <w:rsid w:val="005E3C8E"/>
    <w:rsid w:val="005E44CE"/>
    <w:rsid w:val="005E749E"/>
    <w:rsid w:val="005E777C"/>
    <w:rsid w:val="005E79E5"/>
    <w:rsid w:val="00606CD7"/>
    <w:rsid w:val="00610389"/>
    <w:rsid w:val="00612B2B"/>
    <w:rsid w:val="00614FC0"/>
    <w:rsid w:val="00617A1A"/>
    <w:rsid w:val="00623D4A"/>
    <w:rsid w:val="006252FF"/>
    <w:rsid w:val="00626449"/>
    <w:rsid w:val="006271F9"/>
    <w:rsid w:val="00634E6F"/>
    <w:rsid w:val="00636058"/>
    <w:rsid w:val="00636A70"/>
    <w:rsid w:val="006413D0"/>
    <w:rsid w:val="00641A9C"/>
    <w:rsid w:val="006434B2"/>
    <w:rsid w:val="006439DD"/>
    <w:rsid w:val="00644BD3"/>
    <w:rsid w:val="00646EB6"/>
    <w:rsid w:val="00657D52"/>
    <w:rsid w:val="006663F9"/>
    <w:rsid w:val="0067088F"/>
    <w:rsid w:val="00673C9F"/>
    <w:rsid w:val="00674F9C"/>
    <w:rsid w:val="006758B4"/>
    <w:rsid w:val="006768E6"/>
    <w:rsid w:val="006814CF"/>
    <w:rsid w:val="00682984"/>
    <w:rsid w:val="00686230"/>
    <w:rsid w:val="006863ED"/>
    <w:rsid w:val="00694559"/>
    <w:rsid w:val="006A55EE"/>
    <w:rsid w:val="006B09E4"/>
    <w:rsid w:val="006B6724"/>
    <w:rsid w:val="006B6DFF"/>
    <w:rsid w:val="006C37CD"/>
    <w:rsid w:val="006C424D"/>
    <w:rsid w:val="006D2B4C"/>
    <w:rsid w:val="006D2F3F"/>
    <w:rsid w:val="006D6CF0"/>
    <w:rsid w:val="006D75FD"/>
    <w:rsid w:val="006E4660"/>
    <w:rsid w:val="006E6F92"/>
    <w:rsid w:val="006F2557"/>
    <w:rsid w:val="006F270B"/>
    <w:rsid w:val="006F36D5"/>
    <w:rsid w:val="006F3920"/>
    <w:rsid w:val="006F4272"/>
    <w:rsid w:val="006F4AF7"/>
    <w:rsid w:val="006F5B46"/>
    <w:rsid w:val="00700F85"/>
    <w:rsid w:val="00705233"/>
    <w:rsid w:val="00706945"/>
    <w:rsid w:val="007101EB"/>
    <w:rsid w:val="00716A93"/>
    <w:rsid w:val="00723702"/>
    <w:rsid w:val="007253D6"/>
    <w:rsid w:val="007256A9"/>
    <w:rsid w:val="007271C7"/>
    <w:rsid w:val="00727AD2"/>
    <w:rsid w:val="00731F98"/>
    <w:rsid w:val="00735033"/>
    <w:rsid w:val="007420E0"/>
    <w:rsid w:val="007521A1"/>
    <w:rsid w:val="00752447"/>
    <w:rsid w:val="0075597E"/>
    <w:rsid w:val="00755B8C"/>
    <w:rsid w:val="00756CF6"/>
    <w:rsid w:val="007572D3"/>
    <w:rsid w:val="00763EF1"/>
    <w:rsid w:val="007640A4"/>
    <w:rsid w:val="00773FF0"/>
    <w:rsid w:val="007769C7"/>
    <w:rsid w:val="00785ECA"/>
    <w:rsid w:val="007922E9"/>
    <w:rsid w:val="007A347F"/>
    <w:rsid w:val="007A55F8"/>
    <w:rsid w:val="007A77D2"/>
    <w:rsid w:val="007B7718"/>
    <w:rsid w:val="007B7F69"/>
    <w:rsid w:val="007C03DD"/>
    <w:rsid w:val="007C2208"/>
    <w:rsid w:val="007D250C"/>
    <w:rsid w:val="007D4405"/>
    <w:rsid w:val="007F1653"/>
    <w:rsid w:val="00800761"/>
    <w:rsid w:val="00800823"/>
    <w:rsid w:val="00811903"/>
    <w:rsid w:val="008119E4"/>
    <w:rsid w:val="00812F88"/>
    <w:rsid w:val="00814027"/>
    <w:rsid w:val="0082325F"/>
    <w:rsid w:val="00826CDE"/>
    <w:rsid w:val="00827E89"/>
    <w:rsid w:val="008329BD"/>
    <w:rsid w:val="008340CA"/>
    <w:rsid w:val="00834376"/>
    <w:rsid w:val="008370E8"/>
    <w:rsid w:val="00841523"/>
    <w:rsid w:val="00841AB6"/>
    <w:rsid w:val="00845DF1"/>
    <w:rsid w:val="008469E1"/>
    <w:rsid w:val="00851A8D"/>
    <w:rsid w:val="008547D4"/>
    <w:rsid w:val="008547F1"/>
    <w:rsid w:val="00857519"/>
    <w:rsid w:val="0085752B"/>
    <w:rsid w:val="00865812"/>
    <w:rsid w:val="00866887"/>
    <w:rsid w:val="0087014C"/>
    <w:rsid w:val="00870A5F"/>
    <w:rsid w:val="0087214C"/>
    <w:rsid w:val="00873690"/>
    <w:rsid w:val="0087741A"/>
    <w:rsid w:val="0088618A"/>
    <w:rsid w:val="008907B3"/>
    <w:rsid w:val="00895467"/>
    <w:rsid w:val="00897C61"/>
    <w:rsid w:val="008A0D37"/>
    <w:rsid w:val="008A1636"/>
    <w:rsid w:val="008A2DAC"/>
    <w:rsid w:val="008A3E39"/>
    <w:rsid w:val="008B0F82"/>
    <w:rsid w:val="008B10A6"/>
    <w:rsid w:val="008C0C62"/>
    <w:rsid w:val="008C2DF8"/>
    <w:rsid w:val="008C7465"/>
    <w:rsid w:val="008D2F1B"/>
    <w:rsid w:val="008E4155"/>
    <w:rsid w:val="008F4435"/>
    <w:rsid w:val="008F4F96"/>
    <w:rsid w:val="008F5A5A"/>
    <w:rsid w:val="00901019"/>
    <w:rsid w:val="00901144"/>
    <w:rsid w:val="00902708"/>
    <w:rsid w:val="009068E2"/>
    <w:rsid w:val="00911680"/>
    <w:rsid w:val="00917B80"/>
    <w:rsid w:val="0092063A"/>
    <w:rsid w:val="009229A6"/>
    <w:rsid w:val="009275E6"/>
    <w:rsid w:val="0093031A"/>
    <w:rsid w:val="00930D6C"/>
    <w:rsid w:val="00931686"/>
    <w:rsid w:val="0093236E"/>
    <w:rsid w:val="00933D22"/>
    <w:rsid w:val="009342BB"/>
    <w:rsid w:val="0093621A"/>
    <w:rsid w:val="00942270"/>
    <w:rsid w:val="009440A5"/>
    <w:rsid w:val="009461B9"/>
    <w:rsid w:val="009505F9"/>
    <w:rsid w:val="00957E18"/>
    <w:rsid w:val="0096367D"/>
    <w:rsid w:val="00964BE2"/>
    <w:rsid w:val="009652E0"/>
    <w:rsid w:val="0096644C"/>
    <w:rsid w:val="00966702"/>
    <w:rsid w:val="009717C2"/>
    <w:rsid w:val="00972669"/>
    <w:rsid w:val="00976F8A"/>
    <w:rsid w:val="00980613"/>
    <w:rsid w:val="00981F1D"/>
    <w:rsid w:val="00983690"/>
    <w:rsid w:val="0098784E"/>
    <w:rsid w:val="00990A91"/>
    <w:rsid w:val="0099499E"/>
    <w:rsid w:val="009965D7"/>
    <w:rsid w:val="00997156"/>
    <w:rsid w:val="00997EAD"/>
    <w:rsid w:val="009A3AE6"/>
    <w:rsid w:val="009A4FE9"/>
    <w:rsid w:val="009B19E8"/>
    <w:rsid w:val="009B2595"/>
    <w:rsid w:val="009B3840"/>
    <w:rsid w:val="009B6566"/>
    <w:rsid w:val="009C3860"/>
    <w:rsid w:val="009C42BD"/>
    <w:rsid w:val="009C5186"/>
    <w:rsid w:val="009C56E0"/>
    <w:rsid w:val="009C68A1"/>
    <w:rsid w:val="009D2B4F"/>
    <w:rsid w:val="009D2F8E"/>
    <w:rsid w:val="009D3202"/>
    <w:rsid w:val="009D4E8F"/>
    <w:rsid w:val="009E51E7"/>
    <w:rsid w:val="009E7386"/>
    <w:rsid w:val="009E7DFA"/>
    <w:rsid w:val="009F3D1D"/>
    <w:rsid w:val="009F42BB"/>
    <w:rsid w:val="009F686D"/>
    <w:rsid w:val="00A022A0"/>
    <w:rsid w:val="00A06D57"/>
    <w:rsid w:val="00A06D93"/>
    <w:rsid w:val="00A1161E"/>
    <w:rsid w:val="00A13D4C"/>
    <w:rsid w:val="00A2441B"/>
    <w:rsid w:val="00A3113A"/>
    <w:rsid w:val="00A366C1"/>
    <w:rsid w:val="00A37154"/>
    <w:rsid w:val="00A50203"/>
    <w:rsid w:val="00A5176A"/>
    <w:rsid w:val="00A5246B"/>
    <w:rsid w:val="00A54184"/>
    <w:rsid w:val="00A608D0"/>
    <w:rsid w:val="00A61D73"/>
    <w:rsid w:val="00A6617D"/>
    <w:rsid w:val="00A665AA"/>
    <w:rsid w:val="00A67BEE"/>
    <w:rsid w:val="00A76AC0"/>
    <w:rsid w:val="00A8167F"/>
    <w:rsid w:val="00A8754E"/>
    <w:rsid w:val="00A91583"/>
    <w:rsid w:val="00A9647C"/>
    <w:rsid w:val="00AA1344"/>
    <w:rsid w:val="00AA17A1"/>
    <w:rsid w:val="00AA1994"/>
    <w:rsid w:val="00AA19AE"/>
    <w:rsid w:val="00AA355B"/>
    <w:rsid w:val="00AA43D5"/>
    <w:rsid w:val="00AA6C33"/>
    <w:rsid w:val="00AB2DF1"/>
    <w:rsid w:val="00AB3E46"/>
    <w:rsid w:val="00AB6D37"/>
    <w:rsid w:val="00AB6E0B"/>
    <w:rsid w:val="00AC1C9A"/>
    <w:rsid w:val="00AD6994"/>
    <w:rsid w:val="00AD7F79"/>
    <w:rsid w:val="00AE69C4"/>
    <w:rsid w:val="00AF295B"/>
    <w:rsid w:val="00AF4FA5"/>
    <w:rsid w:val="00AF6F8B"/>
    <w:rsid w:val="00B002AD"/>
    <w:rsid w:val="00B02926"/>
    <w:rsid w:val="00B02D7D"/>
    <w:rsid w:val="00B031FF"/>
    <w:rsid w:val="00B03B24"/>
    <w:rsid w:val="00B03C1A"/>
    <w:rsid w:val="00B04003"/>
    <w:rsid w:val="00B05CA6"/>
    <w:rsid w:val="00B17DCA"/>
    <w:rsid w:val="00B20278"/>
    <w:rsid w:val="00B21653"/>
    <w:rsid w:val="00B23801"/>
    <w:rsid w:val="00B2404D"/>
    <w:rsid w:val="00B41192"/>
    <w:rsid w:val="00B41207"/>
    <w:rsid w:val="00B41275"/>
    <w:rsid w:val="00B43694"/>
    <w:rsid w:val="00B4404F"/>
    <w:rsid w:val="00B44B3B"/>
    <w:rsid w:val="00B60344"/>
    <w:rsid w:val="00B61796"/>
    <w:rsid w:val="00B622DE"/>
    <w:rsid w:val="00B62994"/>
    <w:rsid w:val="00B64B02"/>
    <w:rsid w:val="00B65BB5"/>
    <w:rsid w:val="00B7109A"/>
    <w:rsid w:val="00B71EFE"/>
    <w:rsid w:val="00B72076"/>
    <w:rsid w:val="00B7277B"/>
    <w:rsid w:val="00B730CB"/>
    <w:rsid w:val="00B73976"/>
    <w:rsid w:val="00B7528C"/>
    <w:rsid w:val="00B76387"/>
    <w:rsid w:val="00B763C1"/>
    <w:rsid w:val="00B85A19"/>
    <w:rsid w:val="00B864C5"/>
    <w:rsid w:val="00B92FDD"/>
    <w:rsid w:val="00BA5FE4"/>
    <w:rsid w:val="00BA6D13"/>
    <w:rsid w:val="00BB42EA"/>
    <w:rsid w:val="00BB4E8B"/>
    <w:rsid w:val="00BB57FF"/>
    <w:rsid w:val="00BC1DD4"/>
    <w:rsid w:val="00BC5C0F"/>
    <w:rsid w:val="00BD0D8A"/>
    <w:rsid w:val="00BD440D"/>
    <w:rsid w:val="00BD5801"/>
    <w:rsid w:val="00BE6E8A"/>
    <w:rsid w:val="00BE739F"/>
    <w:rsid w:val="00BF419A"/>
    <w:rsid w:val="00BF5D2A"/>
    <w:rsid w:val="00BF604D"/>
    <w:rsid w:val="00BF737A"/>
    <w:rsid w:val="00C0248B"/>
    <w:rsid w:val="00C12B2E"/>
    <w:rsid w:val="00C131EB"/>
    <w:rsid w:val="00C13BF5"/>
    <w:rsid w:val="00C140F8"/>
    <w:rsid w:val="00C14630"/>
    <w:rsid w:val="00C156FD"/>
    <w:rsid w:val="00C17F25"/>
    <w:rsid w:val="00C22561"/>
    <w:rsid w:val="00C27609"/>
    <w:rsid w:val="00C30AC5"/>
    <w:rsid w:val="00C32772"/>
    <w:rsid w:val="00C33F03"/>
    <w:rsid w:val="00C340EE"/>
    <w:rsid w:val="00C35F47"/>
    <w:rsid w:val="00C41E49"/>
    <w:rsid w:val="00C43DA4"/>
    <w:rsid w:val="00C5789F"/>
    <w:rsid w:val="00C57933"/>
    <w:rsid w:val="00C61212"/>
    <w:rsid w:val="00C70A7B"/>
    <w:rsid w:val="00C715B9"/>
    <w:rsid w:val="00C83EB1"/>
    <w:rsid w:val="00C932AA"/>
    <w:rsid w:val="00C93D50"/>
    <w:rsid w:val="00C951AC"/>
    <w:rsid w:val="00CA0A3C"/>
    <w:rsid w:val="00CA2286"/>
    <w:rsid w:val="00CA394E"/>
    <w:rsid w:val="00CA3957"/>
    <w:rsid w:val="00CA5765"/>
    <w:rsid w:val="00CA6136"/>
    <w:rsid w:val="00CA7F0D"/>
    <w:rsid w:val="00CB0A29"/>
    <w:rsid w:val="00CB2340"/>
    <w:rsid w:val="00CC004B"/>
    <w:rsid w:val="00CC207A"/>
    <w:rsid w:val="00CC2115"/>
    <w:rsid w:val="00CC35B6"/>
    <w:rsid w:val="00CC37A5"/>
    <w:rsid w:val="00CC42EA"/>
    <w:rsid w:val="00CC4B44"/>
    <w:rsid w:val="00CC6ED4"/>
    <w:rsid w:val="00CD14D3"/>
    <w:rsid w:val="00CD6A2F"/>
    <w:rsid w:val="00CE3E20"/>
    <w:rsid w:val="00CE5439"/>
    <w:rsid w:val="00CE588A"/>
    <w:rsid w:val="00CE71AB"/>
    <w:rsid w:val="00CE748B"/>
    <w:rsid w:val="00D03FCA"/>
    <w:rsid w:val="00D052C6"/>
    <w:rsid w:val="00D06813"/>
    <w:rsid w:val="00D1689B"/>
    <w:rsid w:val="00D204A4"/>
    <w:rsid w:val="00D22344"/>
    <w:rsid w:val="00D2253C"/>
    <w:rsid w:val="00D25080"/>
    <w:rsid w:val="00D3066A"/>
    <w:rsid w:val="00D31125"/>
    <w:rsid w:val="00D51FC9"/>
    <w:rsid w:val="00D531E6"/>
    <w:rsid w:val="00D533D7"/>
    <w:rsid w:val="00D616B0"/>
    <w:rsid w:val="00D61BCE"/>
    <w:rsid w:val="00D62669"/>
    <w:rsid w:val="00D66186"/>
    <w:rsid w:val="00D6662D"/>
    <w:rsid w:val="00D70095"/>
    <w:rsid w:val="00D71B05"/>
    <w:rsid w:val="00D74717"/>
    <w:rsid w:val="00D75232"/>
    <w:rsid w:val="00D7791E"/>
    <w:rsid w:val="00D81CE0"/>
    <w:rsid w:val="00D84B60"/>
    <w:rsid w:val="00D9290C"/>
    <w:rsid w:val="00D9305A"/>
    <w:rsid w:val="00D9308E"/>
    <w:rsid w:val="00DA6CD2"/>
    <w:rsid w:val="00DB04B4"/>
    <w:rsid w:val="00DB214B"/>
    <w:rsid w:val="00DB5B4C"/>
    <w:rsid w:val="00DC0459"/>
    <w:rsid w:val="00DC2797"/>
    <w:rsid w:val="00DC3AD2"/>
    <w:rsid w:val="00DD39DF"/>
    <w:rsid w:val="00DD495B"/>
    <w:rsid w:val="00DD701B"/>
    <w:rsid w:val="00DE2376"/>
    <w:rsid w:val="00DE2576"/>
    <w:rsid w:val="00DE7162"/>
    <w:rsid w:val="00DE734A"/>
    <w:rsid w:val="00DF67B2"/>
    <w:rsid w:val="00E0263F"/>
    <w:rsid w:val="00E03954"/>
    <w:rsid w:val="00E0679C"/>
    <w:rsid w:val="00E106DA"/>
    <w:rsid w:val="00E1088C"/>
    <w:rsid w:val="00E14587"/>
    <w:rsid w:val="00E17A2B"/>
    <w:rsid w:val="00E20027"/>
    <w:rsid w:val="00E23145"/>
    <w:rsid w:val="00E25984"/>
    <w:rsid w:val="00E259DF"/>
    <w:rsid w:val="00E27EB8"/>
    <w:rsid w:val="00E27FE6"/>
    <w:rsid w:val="00E312BB"/>
    <w:rsid w:val="00E327A1"/>
    <w:rsid w:val="00E34316"/>
    <w:rsid w:val="00E43181"/>
    <w:rsid w:val="00E472AE"/>
    <w:rsid w:val="00E47D46"/>
    <w:rsid w:val="00E50235"/>
    <w:rsid w:val="00E503AD"/>
    <w:rsid w:val="00E52D22"/>
    <w:rsid w:val="00E53B9E"/>
    <w:rsid w:val="00E574D8"/>
    <w:rsid w:val="00E65496"/>
    <w:rsid w:val="00E665CE"/>
    <w:rsid w:val="00E7287D"/>
    <w:rsid w:val="00E81B39"/>
    <w:rsid w:val="00E82A61"/>
    <w:rsid w:val="00E83F2C"/>
    <w:rsid w:val="00E840FB"/>
    <w:rsid w:val="00E86486"/>
    <w:rsid w:val="00E91A87"/>
    <w:rsid w:val="00E91B76"/>
    <w:rsid w:val="00E929CD"/>
    <w:rsid w:val="00E94F99"/>
    <w:rsid w:val="00E96002"/>
    <w:rsid w:val="00EA1A0A"/>
    <w:rsid w:val="00EA77CD"/>
    <w:rsid w:val="00EB0222"/>
    <w:rsid w:val="00EB377F"/>
    <w:rsid w:val="00EB409F"/>
    <w:rsid w:val="00EB4549"/>
    <w:rsid w:val="00EB5ECD"/>
    <w:rsid w:val="00EB7723"/>
    <w:rsid w:val="00ED0D31"/>
    <w:rsid w:val="00ED589F"/>
    <w:rsid w:val="00EE5CF3"/>
    <w:rsid w:val="00EF0DE7"/>
    <w:rsid w:val="00EF2A95"/>
    <w:rsid w:val="00F1255E"/>
    <w:rsid w:val="00F15DF0"/>
    <w:rsid w:val="00F2253B"/>
    <w:rsid w:val="00F23BBA"/>
    <w:rsid w:val="00F33375"/>
    <w:rsid w:val="00F35617"/>
    <w:rsid w:val="00F37893"/>
    <w:rsid w:val="00F4060F"/>
    <w:rsid w:val="00F42498"/>
    <w:rsid w:val="00F45E28"/>
    <w:rsid w:val="00F607D9"/>
    <w:rsid w:val="00F60F14"/>
    <w:rsid w:val="00F614A9"/>
    <w:rsid w:val="00F73DD4"/>
    <w:rsid w:val="00F741EB"/>
    <w:rsid w:val="00F81D32"/>
    <w:rsid w:val="00F8250A"/>
    <w:rsid w:val="00F82AF7"/>
    <w:rsid w:val="00F833CF"/>
    <w:rsid w:val="00F8508F"/>
    <w:rsid w:val="00F86E93"/>
    <w:rsid w:val="00F92AC5"/>
    <w:rsid w:val="00F95A0C"/>
    <w:rsid w:val="00F966D3"/>
    <w:rsid w:val="00FA519E"/>
    <w:rsid w:val="00FB12E3"/>
    <w:rsid w:val="00FB4316"/>
    <w:rsid w:val="00FB6F1F"/>
    <w:rsid w:val="00FB7B88"/>
    <w:rsid w:val="00FC07B4"/>
    <w:rsid w:val="00FC6502"/>
    <w:rsid w:val="00FD12B2"/>
    <w:rsid w:val="00FD5665"/>
    <w:rsid w:val="00FD7702"/>
    <w:rsid w:val="00FE1400"/>
    <w:rsid w:val="00FE2420"/>
    <w:rsid w:val="00FE4DED"/>
    <w:rsid w:val="00FF5B65"/>
    <w:rsid w:val="00FF6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58052"/>
  <w15:docId w15:val="{924608A3-ED3C-48FC-A3D1-54332F2F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720"/>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083D85"/>
    <w:rPr>
      <w:sz w:val="20"/>
      <w:szCs w:val="20"/>
    </w:rPr>
  </w:style>
  <w:style w:type="character" w:customStyle="1" w:styleId="FootnoteTextChar">
    <w:name w:val="Footnote Text Char"/>
    <w:basedOn w:val="DefaultParagraphFont"/>
    <w:link w:val="FootnoteText"/>
    <w:uiPriority w:val="99"/>
    <w:semiHidden/>
    <w:rsid w:val="00083D8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83D85"/>
    <w:rPr>
      <w:vertAlign w:val="superscript"/>
    </w:rPr>
  </w:style>
  <w:style w:type="paragraph" w:styleId="Header">
    <w:name w:val="header"/>
    <w:basedOn w:val="Normal"/>
    <w:link w:val="HeaderChar"/>
    <w:uiPriority w:val="99"/>
    <w:unhideWhenUsed/>
    <w:rsid w:val="00083D85"/>
    <w:pPr>
      <w:tabs>
        <w:tab w:val="center" w:pos="4513"/>
        <w:tab w:val="right" w:pos="9026"/>
      </w:tabs>
    </w:pPr>
  </w:style>
  <w:style w:type="character" w:customStyle="1" w:styleId="HeaderChar">
    <w:name w:val="Header Char"/>
    <w:basedOn w:val="DefaultParagraphFont"/>
    <w:link w:val="Header"/>
    <w:uiPriority w:val="99"/>
    <w:rsid w:val="00083D85"/>
    <w:rPr>
      <w:rFonts w:ascii="Times New Roman" w:eastAsia="Times New Roman" w:hAnsi="Times New Roman" w:cs="Times New Roman"/>
    </w:rPr>
  </w:style>
  <w:style w:type="paragraph" w:styleId="Footer">
    <w:name w:val="footer"/>
    <w:basedOn w:val="Normal"/>
    <w:link w:val="FooterChar"/>
    <w:uiPriority w:val="99"/>
    <w:unhideWhenUsed/>
    <w:rsid w:val="00083D85"/>
    <w:pPr>
      <w:tabs>
        <w:tab w:val="center" w:pos="4513"/>
        <w:tab w:val="right" w:pos="9026"/>
      </w:tabs>
    </w:pPr>
  </w:style>
  <w:style w:type="character" w:customStyle="1" w:styleId="FooterChar">
    <w:name w:val="Footer Char"/>
    <w:basedOn w:val="DefaultParagraphFont"/>
    <w:link w:val="Footer"/>
    <w:uiPriority w:val="99"/>
    <w:rsid w:val="00083D85"/>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C0383"/>
    <w:rPr>
      <w:sz w:val="16"/>
      <w:szCs w:val="16"/>
    </w:rPr>
  </w:style>
  <w:style w:type="paragraph" w:styleId="CommentText">
    <w:name w:val="annotation text"/>
    <w:basedOn w:val="Normal"/>
    <w:link w:val="CommentTextChar"/>
    <w:uiPriority w:val="99"/>
    <w:unhideWhenUsed/>
    <w:rsid w:val="004C0383"/>
    <w:rPr>
      <w:sz w:val="20"/>
      <w:szCs w:val="20"/>
    </w:rPr>
  </w:style>
  <w:style w:type="character" w:customStyle="1" w:styleId="CommentTextChar">
    <w:name w:val="Comment Text Char"/>
    <w:basedOn w:val="DefaultParagraphFont"/>
    <w:link w:val="CommentText"/>
    <w:uiPriority w:val="99"/>
    <w:rsid w:val="004C03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0383"/>
    <w:rPr>
      <w:b/>
      <w:bCs/>
    </w:rPr>
  </w:style>
  <w:style w:type="character" w:customStyle="1" w:styleId="CommentSubjectChar">
    <w:name w:val="Comment Subject Char"/>
    <w:basedOn w:val="CommentTextChar"/>
    <w:link w:val="CommentSubject"/>
    <w:uiPriority w:val="99"/>
    <w:semiHidden/>
    <w:rsid w:val="004C038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C03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383"/>
    <w:rPr>
      <w:rFonts w:ascii="Segoe UI" w:eastAsia="Times New Roman" w:hAnsi="Segoe UI" w:cs="Segoe UI"/>
      <w:sz w:val="18"/>
      <w:szCs w:val="18"/>
    </w:rPr>
  </w:style>
  <w:style w:type="paragraph" w:styleId="Revision">
    <w:name w:val="Revision"/>
    <w:hidden/>
    <w:uiPriority w:val="99"/>
    <w:semiHidden/>
    <w:rsid w:val="00336C56"/>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B21653"/>
    <w:rPr>
      <w:color w:val="0000FF" w:themeColor="hyperlink"/>
      <w:u w:val="single"/>
    </w:rPr>
  </w:style>
  <w:style w:type="character" w:styleId="UnresolvedMention">
    <w:name w:val="Unresolved Mention"/>
    <w:basedOn w:val="DefaultParagraphFont"/>
    <w:uiPriority w:val="99"/>
    <w:semiHidden/>
    <w:unhideWhenUsed/>
    <w:rsid w:val="00B21653"/>
    <w:rPr>
      <w:color w:val="605E5C"/>
      <w:shd w:val="clear" w:color="auto" w:fill="E1DFDD"/>
    </w:rPr>
  </w:style>
  <w:style w:type="character" w:customStyle="1" w:styleId="cf01">
    <w:name w:val="cf01"/>
    <w:basedOn w:val="DefaultParagraphFont"/>
    <w:rsid w:val="008547D4"/>
    <w:rPr>
      <w:rFonts w:ascii="Segoe UI" w:hAnsi="Segoe UI" w:cs="Segoe UI" w:hint="default"/>
      <w:sz w:val="18"/>
      <w:szCs w:val="18"/>
    </w:rPr>
  </w:style>
  <w:style w:type="paragraph" w:customStyle="1" w:styleId="Default">
    <w:name w:val="Default"/>
    <w:rsid w:val="00902708"/>
    <w:pPr>
      <w:widowControl/>
      <w:adjustRightInd w:val="0"/>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kop.azurewebsites.net" TargetMode="External"/><Relationship Id="rId13" Type="http://schemas.openxmlformats.org/officeDocument/2006/relationships/hyperlink" Target="mailto:xr-legal@riseup.net" TargetMode="External"/><Relationship Id="rId18" Type="http://schemas.openxmlformats.org/officeDocument/2006/relationships/hyperlink" Target="https://ukop.azurewebsites.net" TargetMode="External"/><Relationship Id="rId3" Type="http://schemas.openxmlformats.org/officeDocument/2006/relationships/styles" Target="styles.xml"/><Relationship Id="rId21" Type="http://schemas.openxmlformats.org/officeDocument/2006/relationships/hyperlink" Target="mailto:juststopoil@protonmail.com" TargetMode="External"/><Relationship Id="rId7" Type="http://schemas.openxmlformats.org/officeDocument/2006/relationships/endnotes" Target="endnotes.xml"/><Relationship Id="rId12" Type="http://schemas.openxmlformats.org/officeDocument/2006/relationships/hyperlink" Target="mailto:info@juststopoil.org" TargetMode="External"/><Relationship Id="rId17" Type="http://schemas.openxmlformats.org/officeDocument/2006/relationships/hyperlink" Target="https://ukop.azurewebsites.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juststopoil.org" TargetMode="External"/><Relationship Id="rId20" Type="http://schemas.openxmlformats.org/officeDocument/2006/relationships/hyperlink" Target="mailto:juststopoilpress@proton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ststopoil@proton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uststopoil@protonmail.com" TargetMode="External"/><Relationship Id="rId23" Type="http://schemas.openxmlformats.org/officeDocument/2006/relationships/footer" Target="footer1.xml"/><Relationship Id="rId10" Type="http://schemas.openxmlformats.org/officeDocument/2006/relationships/hyperlink" Target="mailto:juststopoilpress@protonmail.com" TargetMode="External"/><Relationship Id="rId19" Type="http://schemas.openxmlformats.org/officeDocument/2006/relationships/hyperlink" Target="mailto:xr-legal@riseup.net" TargetMode="External"/><Relationship Id="rId4" Type="http://schemas.openxmlformats.org/officeDocument/2006/relationships/settings" Target="settings.xml"/><Relationship Id="rId9" Type="http://schemas.openxmlformats.org/officeDocument/2006/relationships/hyperlink" Target="mailto:xr-legal@riseup.net" TargetMode="External"/><Relationship Id="rId14" Type="http://schemas.openxmlformats.org/officeDocument/2006/relationships/hyperlink" Target="mailto:juststopoilpress@protonmail.com" TargetMode="External"/><Relationship Id="rId22" Type="http://schemas.openxmlformats.org/officeDocument/2006/relationships/hyperlink" Target="mailto:info@juststopoil.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info@juststopoil.org" TargetMode="External"/><Relationship Id="rId2" Type="http://schemas.openxmlformats.org/officeDocument/2006/relationships/hyperlink" Target="mailto:info@juststopoil.org" TargetMode="External"/><Relationship Id="rId1" Type="http://schemas.openxmlformats.org/officeDocument/2006/relationships/hyperlink" Target="mailto:juststopoil@protonmail.co.uk" TargetMode="External"/><Relationship Id="rId6" Type="http://schemas.openxmlformats.org/officeDocument/2006/relationships/hyperlink" Target="mailto:info@juststopoil.org" TargetMode="External"/><Relationship Id="rId5" Type="http://schemas.openxmlformats.org/officeDocument/2006/relationships/hyperlink" Target="mailto:info@juststopoil.org" TargetMode="External"/><Relationship Id="rId4" Type="http://schemas.openxmlformats.org/officeDocument/2006/relationships/hyperlink" Target="mailto:juststopoil@proton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18BF8-8783-45FB-875F-5FA248BB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4519</Words>
  <Characters>25760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30219</CharactersWithSpaces>
  <SharedDoc>false</SharedDoc>
  <HLinks>
    <vt:vector size="60" baseType="variant">
      <vt:variant>
        <vt:i4>7340078</vt:i4>
      </vt:variant>
      <vt:variant>
        <vt:i4>27</vt:i4>
      </vt:variant>
      <vt:variant>
        <vt:i4>0</vt:i4>
      </vt:variant>
      <vt:variant>
        <vt:i4>5</vt:i4>
      </vt:variant>
      <vt:variant>
        <vt:lpwstr>https://ukop.azurewebsites.net/</vt:lpwstr>
      </vt:variant>
      <vt:variant>
        <vt:lpwstr/>
      </vt:variant>
      <vt:variant>
        <vt:i4>5308512</vt:i4>
      </vt:variant>
      <vt:variant>
        <vt:i4>24</vt:i4>
      </vt:variant>
      <vt:variant>
        <vt:i4>0</vt:i4>
      </vt:variant>
      <vt:variant>
        <vt:i4>5</vt:i4>
      </vt:variant>
      <vt:variant>
        <vt:lpwstr>mailto:juststopoil@protonmail.com</vt:lpwstr>
      </vt:variant>
      <vt:variant>
        <vt:lpwstr/>
      </vt:variant>
      <vt:variant>
        <vt:i4>5111925</vt:i4>
      </vt:variant>
      <vt:variant>
        <vt:i4>21</vt:i4>
      </vt:variant>
      <vt:variant>
        <vt:i4>0</vt:i4>
      </vt:variant>
      <vt:variant>
        <vt:i4>5</vt:i4>
      </vt:variant>
      <vt:variant>
        <vt:lpwstr>mailto:juststopoilpress@protonmail.com</vt:lpwstr>
      </vt:variant>
      <vt:variant>
        <vt:lpwstr/>
      </vt:variant>
      <vt:variant>
        <vt:i4>2359374</vt:i4>
      </vt:variant>
      <vt:variant>
        <vt:i4>18</vt:i4>
      </vt:variant>
      <vt:variant>
        <vt:i4>0</vt:i4>
      </vt:variant>
      <vt:variant>
        <vt:i4>5</vt:i4>
      </vt:variant>
      <vt:variant>
        <vt:lpwstr>mailto:juststopoil@protonmail.co.uk</vt:lpwstr>
      </vt:variant>
      <vt:variant>
        <vt:lpwstr/>
      </vt:variant>
      <vt:variant>
        <vt:i4>1376352</vt:i4>
      </vt:variant>
      <vt:variant>
        <vt:i4>15</vt:i4>
      </vt:variant>
      <vt:variant>
        <vt:i4>0</vt:i4>
      </vt:variant>
      <vt:variant>
        <vt:i4>5</vt:i4>
      </vt:variant>
      <vt:variant>
        <vt:lpwstr>mailto:xr-legal@riseup.net</vt:lpwstr>
      </vt:variant>
      <vt:variant>
        <vt:lpwstr/>
      </vt:variant>
      <vt:variant>
        <vt:i4>7340078</vt:i4>
      </vt:variant>
      <vt:variant>
        <vt:i4>12</vt:i4>
      </vt:variant>
      <vt:variant>
        <vt:i4>0</vt:i4>
      </vt:variant>
      <vt:variant>
        <vt:i4>5</vt:i4>
      </vt:variant>
      <vt:variant>
        <vt:lpwstr>https://ukop.azurewebsites.net/</vt:lpwstr>
      </vt:variant>
      <vt:variant>
        <vt:lpwstr/>
      </vt:variant>
      <vt:variant>
        <vt:i4>5308512</vt:i4>
      </vt:variant>
      <vt:variant>
        <vt:i4>9</vt:i4>
      </vt:variant>
      <vt:variant>
        <vt:i4>0</vt:i4>
      </vt:variant>
      <vt:variant>
        <vt:i4>5</vt:i4>
      </vt:variant>
      <vt:variant>
        <vt:lpwstr>mailto:juststopoil@protonmail.com</vt:lpwstr>
      </vt:variant>
      <vt:variant>
        <vt:lpwstr/>
      </vt:variant>
      <vt:variant>
        <vt:i4>5111925</vt:i4>
      </vt:variant>
      <vt:variant>
        <vt:i4>6</vt:i4>
      </vt:variant>
      <vt:variant>
        <vt:i4>0</vt:i4>
      </vt:variant>
      <vt:variant>
        <vt:i4>5</vt:i4>
      </vt:variant>
      <vt:variant>
        <vt:lpwstr>mailto:juststopoilpress@protonmail.com</vt:lpwstr>
      </vt:variant>
      <vt:variant>
        <vt:lpwstr/>
      </vt:variant>
      <vt:variant>
        <vt:i4>2359374</vt:i4>
      </vt:variant>
      <vt:variant>
        <vt:i4>3</vt:i4>
      </vt:variant>
      <vt:variant>
        <vt:i4>0</vt:i4>
      </vt:variant>
      <vt:variant>
        <vt:i4>5</vt:i4>
      </vt:variant>
      <vt:variant>
        <vt:lpwstr>mailto:juststopoil@protonmail.co.uk</vt:lpwstr>
      </vt:variant>
      <vt:variant>
        <vt:lpwstr/>
      </vt:variant>
      <vt:variant>
        <vt:i4>1376352</vt:i4>
      </vt:variant>
      <vt:variant>
        <vt:i4>0</vt:i4>
      </vt:variant>
      <vt:variant>
        <vt:i4>0</vt:i4>
      </vt:variant>
      <vt:variant>
        <vt:i4>5</vt:i4>
      </vt:variant>
      <vt:variant>
        <vt:lpwstr>mailto:xr-legal@riseup.net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Katharine Holland QC</dc:creator>
  <cp:lastModifiedBy>Yaaser Vanderman</cp:lastModifiedBy>
  <cp:revision>17</cp:revision>
  <cp:lastPrinted>2023-09-27T09:25:00Z</cp:lastPrinted>
  <dcterms:created xsi:type="dcterms:W3CDTF">2023-09-28T20:53:00Z</dcterms:created>
  <dcterms:modified xsi:type="dcterms:W3CDTF">2023-09-29T09:48:00Z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Microsoft® Word for Microsoft 365</vt:lpwstr>
  </property>
  <property fmtid="{D5CDD505-2E9C-101B-9397-08002B2CF9AE}" pid="4" name="LastSaved">
    <vt:filetime>2023-04-12T00:00:00Z</vt:filetime>
  </property>
  <property fmtid="{D5CDD505-2E9C-101B-9397-08002B2CF9AE}" pid="5" name="Producer">
    <vt:lpwstr>Microsoft® Word for Microsoft 365</vt:lpwstr>
  </property>
</Properties>
</file>